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60" w:after="144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>
        <w:rPr>
          <w:rFonts w:ascii="Times New Roman" w:hAnsi="Times New Roman"/>
          <w:b/>
          <w:sz w:val="28"/>
          <w:szCs w:val="28"/>
        </w:rPr>
        <w:t xml:space="preserve">дополнительной профессиональной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АНО Научно-исследовательский</w:t>
      </w:r>
      <w:r>
        <w:rPr>
          <w:rFonts w:ascii="Times New Roman" w:hAnsi="Times New Roman"/>
          <w:b/>
          <w:sz w:val="28"/>
          <w:szCs w:val="28"/>
        </w:rPr>
        <w:t xml:space="preserve"> «Центр развития энергетического права и современной правовой науки имени 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Мусина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6"/>
        <w:numPr>
          <w:ilvl w:val="0"/>
          <w:numId w:val="0"/>
        </w:numPr>
        <w:jc w:val="center"/>
        <w:spacing w:before="60" w:after="144" w:line="240" w:lineRule="auto"/>
        <w:rPr>
          <w:b w:val="0"/>
          <w:sz w:val="26"/>
          <w:szCs w:val="26"/>
          <w:lang w:val="ru-RU"/>
        </w:rPr>
        <w:pBdr>
          <w:top w:val="single" w:color="000000" w:sz="4" w:space="1"/>
        </w:pBdr>
      </w:pPr>
      <w:r/>
      <w:bookmarkStart w:id="0" w:name="_Toc296511667"/>
      <w:r/>
      <w:bookmarkStart w:id="1" w:name="_Toc296511869"/>
      <w:r/>
      <w:bookmarkStart w:id="2" w:name="_Toc296512045"/>
      <w:r/>
      <w:bookmarkStart w:id="3" w:name="_Toc296512122"/>
      <w:r/>
      <w:bookmarkStart w:id="4" w:name="_Toc296516890"/>
      <w:r/>
      <w:bookmarkStart w:id="5" w:name="_Toc296525006"/>
      <w:r/>
      <w:bookmarkStart w:id="6" w:name="_Toc296584754"/>
      <w:r>
        <w:rPr>
          <w:b w:val="0"/>
          <w:sz w:val="26"/>
          <w:szCs w:val="26"/>
          <w:lang w:val="ru-RU"/>
        </w:rPr>
        <w:t xml:space="preserve">наименование </w:t>
      </w:r>
      <w:r>
        <w:rPr>
          <w:b w:val="0"/>
          <w:sz w:val="26"/>
          <w:szCs w:val="26"/>
        </w:rPr>
        <w:t xml:space="preserve">образовательн</w:t>
      </w:r>
      <w:r>
        <w:rPr>
          <w:b w:val="0"/>
          <w:sz w:val="26"/>
          <w:szCs w:val="26"/>
          <w:lang w:val="ru-RU"/>
        </w:rPr>
        <w:t xml:space="preserve">ой</w:t>
      </w:r>
      <w:r>
        <w:rPr>
          <w:b w:val="0"/>
          <w:sz w:val="26"/>
          <w:szCs w:val="26"/>
        </w:rPr>
        <w:t xml:space="preserve"> </w:t>
      </w:r>
      <w:bookmarkEnd w:id="0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>
        <w:rPr>
          <w:b w:val="0"/>
          <w:sz w:val="26"/>
          <w:szCs w:val="26"/>
          <w:lang w:val="ru-RU"/>
        </w:rPr>
        <w:t xml:space="preserve">организации</w:t>
      </w:r>
      <w:r>
        <w:rPr>
          <w:b w:val="0"/>
          <w:sz w:val="26"/>
          <w:szCs w:val="26"/>
          <w:lang w:val="ru-RU"/>
        </w:rPr>
      </w:r>
      <w:r>
        <w:rPr>
          <w:b w:val="0"/>
          <w:sz w:val="26"/>
          <w:szCs w:val="26"/>
          <w:lang w:val="ru-RU"/>
        </w:rPr>
      </w:r>
    </w:p>
    <w:p>
      <w:pPr>
        <w:spacing w:before="60" w:after="144" w:line="240" w:lineRule="auto"/>
        <w:rPr>
          <w:rFonts w:ascii="Times New Roman" w:hAnsi="Times New Roman"/>
          <w:sz w:val="8"/>
          <w:szCs w:val="28"/>
        </w:rPr>
      </w:pPr>
      <w:r>
        <w:rPr>
          <w:rFonts w:ascii="Times New Roman" w:hAnsi="Times New Roman"/>
          <w:sz w:val="8"/>
          <w:szCs w:val="28"/>
        </w:rPr>
      </w:r>
      <w:r>
        <w:rPr>
          <w:rFonts w:ascii="Times New Roman" w:hAnsi="Times New Roman"/>
          <w:sz w:val="8"/>
          <w:szCs w:val="28"/>
        </w:rPr>
      </w:r>
      <w:r>
        <w:rPr>
          <w:rFonts w:ascii="Times New Roman" w:hAnsi="Times New Roman"/>
          <w:sz w:val="8"/>
          <w:szCs w:val="28"/>
        </w:rPr>
      </w:r>
    </w:p>
    <w:p>
      <w:pPr>
        <w:jc w:val="center"/>
        <w:spacing w:before="60" w:after="144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Учебно-тематический план программы</w:t>
      </w:r>
      <w:r>
        <w:rPr>
          <w:rFonts w:ascii="Times New Roman" w:hAnsi="Times New Roman"/>
          <w:sz w:val="28"/>
        </w:rPr>
        <w:t xml:space="preserve"> повышения квалификации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2429"/>
        <w:gridCol w:w="992"/>
        <w:gridCol w:w="709"/>
        <w:gridCol w:w="284"/>
        <w:gridCol w:w="1275"/>
        <w:gridCol w:w="709"/>
        <w:gridCol w:w="3260"/>
      </w:tblGrid>
      <w:tr>
        <w:tblPrEx/>
        <w:trPr/>
        <w:tc>
          <w:tcPr>
            <w:gridSpan w:val="8"/>
            <w:tcW w:w="10348" w:type="dxa"/>
            <w:textDirection w:val="lrTb"/>
            <w:noWrap w:val="false"/>
          </w:tcPr>
          <w:p>
            <w:pPr>
              <w:jc w:val="center"/>
              <w:spacing w:before="60" w:after="144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/>
            <w:bookmarkStart w:id="7" w:name="_Hlk137827201"/>
            <w:r>
              <w:rPr>
                <w:rFonts w:ascii="Times New Roman" w:hAnsi="Times New Roman"/>
                <w:sz w:val="28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32"/>
              </w:rPr>
              <w:t xml:space="preserve">Газовое право. Актуальные вопросы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</w:t>
            </w:r>
            <w:bookmarkEnd w:id="7"/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4820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обучения: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tcW w:w="5528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обучающихся в области газового права, углубленное изучение отраслевого энергетического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законодательства,  приобретение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новых и совершенствование имеющихся компетенций.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tcW w:w="4820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слушателей: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tcW w:w="5528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и специалисты компаний топливно-энергетического комплекса, государственных органов, консалтинговых компаний, другие заинтересованные лица.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4820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Профессиональный стандарт: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tcW w:w="5528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4820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обучения: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tcW w:w="5528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4820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занятий: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tcW w:w="5528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реализуются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применением технологии электронного обучения, посредством самостоятельного изучения электронных и иных материалов в пределах установленного периода.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4820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обучения: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tcW w:w="5528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очно-заочная/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отрывом от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без отрыва от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/>
        <w:tc>
          <w:tcPr>
            <w:tcBorders>
              <w:bottom w:val="non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/>
        <w:tc>
          <w:tcPr>
            <w:tcBorders>
              <w:top w:val="non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тем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часов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практические занятия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/>
        <w:tc>
          <w:tcPr>
            <w:tcW w:w="690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Специальный раздел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38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38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Контр.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вопросы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22"/>
        </w:trPr>
        <w:tc>
          <w:tcPr>
            <w:tcW w:w="690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источники правового регулирования газового права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16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Понятие газового права.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r>
          </w:p>
          <w:p>
            <w:pPr>
              <w:pStyle w:val="894"/>
              <w:numPr>
                <w:ilvl w:val="0"/>
                <w:numId w:val="16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Стратегические задачи развития газовой отрасли.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r>
          </w:p>
          <w:p>
            <w:p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3. Источники правового регулирования общественных отношений в газовой отрасли.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/>
        <w:tc>
          <w:tcPr>
            <w:tcW w:w="690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Правовое регулирование частноправовых отношений в газовой отрасли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17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Правовой режим газа как объекта частноправовых отношений в сфере энергетики.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</w:p>
          <w:p>
            <w:pPr>
              <w:pStyle w:val="894"/>
              <w:numPr>
                <w:ilvl w:val="0"/>
                <w:numId w:val="17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Правовой режим энергетических объектов газовой отрасли.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</w:p>
          <w:p>
            <w:pPr>
              <w:pStyle w:val="894"/>
              <w:numPr>
                <w:ilvl w:val="0"/>
                <w:numId w:val="17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Правовое положение субъектов частноправовых отношений в сфере энергетики.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</w:p>
          <w:p>
            <w:pPr>
              <w:pStyle w:val="894"/>
              <w:numPr>
                <w:ilvl w:val="0"/>
                <w:numId w:val="17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Договорное регулирование отношений по купле-продаже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(поставке) газа, по технологическому присоединению к магистральным газопроводам, к газораспределительным сетям, транспортировке, перевозке, хранению газа.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/>
        <w:tc>
          <w:tcPr>
            <w:tcW w:w="690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Правовое регулирование публично-правовых отношений в газовой отрасли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18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Цели, задачи, направления государственного регулирования и контроля в сфере энергетики.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</w:p>
          <w:p>
            <w:pPr>
              <w:pStyle w:val="894"/>
              <w:numPr>
                <w:ilvl w:val="0"/>
                <w:numId w:val="18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Органы, уполномоченные на осуществление государственного регулирования и (или) контроля в сфере энергетики.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  <w:r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/>
        <w:tc>
          <w:tcPr>
            <w:tcW w:w="690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38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38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/>
        <w:tc>
          <w:tcPr>
            <w:tcW w:w="690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Итоговый контроль знаний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Экзамен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/>
        <w:tc>
          <w:tcPr>
            <w:tcW w:w="690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both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40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40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numPr>
          <w:ilvl w:val="0"/>
          <w:numId w:val="7"/>
        </w:numPr>
        <w:contextualSpacing/>
        <w:jc w:val="center"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КАЛЕНДАРНЫЙ УЧЕБНЫЙ ГРАФИК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 </w:t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jc w:val="center"/>
        <w:shd w:val="clear" w:color="auto" w:fill="ffffff"/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Объем программы – 40 ч.</w:t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jc w:val="center"/>
        <w:shd w:val="clear" w:color="auto" w:fill="ffffff"/>
        <w:rPr>
          <w:rFonts w:ascii="Times New Roman" w:hAnsi="Times New Roman" w:eastAsiaTheme="minorHAnsi"/>
          <w:bCs/>
          <w:sz w:val="24"/>
          <w:szCs w:val="24"/>
          <w:lang w:val="en-US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Продолжительность обучения – 1 месяц</w:t>
      </w:r>
      <w:r>
        <w:rPr>
          <w:rFonts w:ascii="Times New Roman" w:hAnsi="Times New Roman" w:eastAsiaTheme="minorHAnsi"/>
          <w:bCs/>
          <w:sz w:val="24"/>
          <w:szCs w:val="24"/>
          <w:lang w:val="en-US"/>
        </w:rPr>
      </w:r>
      <w:r>
        <w:rPr>
          <w:rFonts w:ascii="Times New Roman" w:hAnsi="Times New Roman" w:eastAsiaTheme="minorHAnsi"/>
          <w:bCs/>
          <w:sz w:val="24"/>
          <w:szCs w:val="24"/>
          <w:lang w:val="en-US"/>
        </w:rPr>
      </w:r>
    </w:p>
    <w:p>
      <w:pPr>
        <w:ind w:firstLine="70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</w:t>
      </w:r>
      <w:r>
        <w:rPr>
          <w:rFonts w:ascii="Times New Roman" w:hAnsi="Times New Roman"/>
          <w:sz w:val="24"/>
          <w:szCs w:val="24"/>
        </w:rPr>
        <w:t xml:space="preserve"> (в том числе итоговая аттестация)</w:t>
      </w:r>
      <w:r>
        <w:rPr>
          <w:rFonts w:ascii="Times New Roman" w:hAnsi="Times New Roman"/>
          <w:sz w:val="24"/>
          <w:szCs w:val="24"/>
        </w:rPr>
        <w:t xml:space="preserve"> обучающихся происходит в течение</w:t>
      </w:r>
      <w:r>
        <w:rPr>
          <w:rFonts w:ascii="Times New Roman" w:hAnsi="Times New Roman"/>
          <w:sz w:val="24"/>
          <w:szCs w:val="24"/>
        </w:rPr>
        <w:t xml:space="preserve"> всего срока обучения в объеме </w:t>
      </w:r>
      <w:r>
        <w:rPr>
          <w:rFonts w:ascii="Times New Roman" w:hAnsi="Times New Roman"/>
          <w:sz w:val="24"/>
          <w:szCs w:val="24"/>
        </w:rPr>
        <w:t xml:space="preserve">40</w:t>
      </w:r>
      <w:r>
        <w:rPr>
          <w:rFonts w:ascii="Times New Roman" w:hAnsi="Times New Roman"/>
          <w:sz w:val="24"/>
          <w:szCs w:val="24"/>
        </w:rPr>
        <w:t xml:space="preserve"> академических часов.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7"/>
        </w:numPr>
        <w:contextualSpacing/>
        <w:jc w:val="center"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РАБОЧИЕ ПРОГРАММЫ ДИСЦИПЛИН (МОДУЛЕЙ)</w:t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tbl>
      <w:tblPr>
        <w:tblStyle w:val="88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804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Дисциплина (модуль)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8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11"/>
              </w:numPr>
              <w:jc w:val="both"/>
              <w:widowControl w:val="off"/>
              <w:tabs>
                <w:tab w:val="left" w:pos="9781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Понятие и источники правового регулирования газового права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Краткое содержание лекций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газового права. Стратегические задачи развития газовой отрасли. Источники правового регулирования общественных отношений в газовой отрасли.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tbl>
      <w:tblPr>
        <w:tblStyle w:val="88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804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Дисциплина (модуль)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8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11"/>
              </w:numPr>
              <w:jc w:val="both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регулирование частноправовых отношений в газовой отрасли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94"/>
              <w:ind w:left="644"/>
              <w:jc w:val="both"/>
              <w:widowControl w:val="off"/>
              <w:tabs>
                <w:tab w:val="left" w:pos="9781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Краткое содержание лекций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режим газа как объекта частноправовых отношений в сфере энергетики.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положение субъектов частноправовых отношений в сфере энергетики.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Договорное регулирование отношений по купле-продаже (поставке) газа, по технологическому присоединению к магистральным газопроводам, к газораспределительным сетям, транспортировке, перевозке, хранению газа.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tbl>
      <w:tblPr>
        <w:tblStyle w:val="88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804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Дисциплина (модуль)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8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11"/>
              </w:numPr>
              <w:jc w:val="both"/>
              <w:spacing w:after="200"/>
              <w:widowControl w:val="off"/>
              <w:tabs>
                <w:tab w:val="left" w:pos="978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регулирование публично-правовых отношений в газовой отрасли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Краткое содержание лекций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Цели, задачи, направления государственного регулирования и контроля в сфере энергетики.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Органы, уполномоченные на осуществление государственного регулирования и (или) контроля в сфере энергетики.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numPr>
          <w:ilvl w:val="0"/>
          <w:numId w:val="7"/>
        </w:numPr>
        <w:contextualSpacing/>
        <w:jc w:val="center"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ПЛАНИРУЕМЫЕ РЕЗУЛЬТАТЫ ОБУЧЕНИЯ</w:t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повышения квалификации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Газовое право. Актуальные вопросы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должны быть усовершенствованы следующие профессиональные компетенции (ПК):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2 – знание состава, структуры и тенденции развития правового регулирования отношений в сфере энергетики;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3 – знание закономерностей развития правоприменительной практики в сфере энергетики, и ее значение в системе правового регулирования;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4 – умение применять нормы энергетического права в ситуациях наличия пробелов, противоречий, решать сложные задачи правоприменительной практики в сфере энергетики;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5 – умение аргументировать принятие решения, в том числе, с учетом возможных последствий, предвидеть последствия принятых решений;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6 – владение навыками составления письменных документов юридического содержания; разработки проектов нормативных и индивидуальных правовых актов в сфере энергетики;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7 – владение навыками составления экспертных заключений; владение навыками изучения правовой действительности с помощью научной методологии в сфере энергетики.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hd w:val="clear" w:color="auto" w:fill="ffffff"/>
        <w:tabs>
          <w:tab w:val="left" w:pos="1872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.1 Таблица соответствия действующих профессиональных станд</w:t>
      </w:r>
      <w:r>
        <w:rPr>
          <w:rFonts w:ascii="Times New Roman" w:hAnsi="Times New Roman"/>
          <w:b/>
          <w:sz w:val="24"/>
          <w:szCs w:val="24"/>
        </w:rPr>
        <w:t xml:space="preserve">артов образовательной программе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Style w:val="888"/>
        <w:tblW w:w="0" w:type="auto"/>
        <w:tblInd w:w="0" w:type="dxa"/>
        <w:tblLook w:val="04A0" w:firstRow="1" w:lastRow="0" w:firstColumn="1" w:lastColumn="0" w:noHBand="0" w:noVBand="1"/>
      </w:tblPr>
      <w:tblGrid>
        <w:gridCol w:w="2359"/>
        <w:gridCol w:w="2269"/>
        <w:gridCol w:w="2976"/>
        <w:gridCol w:w="237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Код профессионального стандарта по классификации Минтруда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Область профессиональной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Вид профессиональной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Наименование профессионального стандарта (с последующими изменениями и дополнениями)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9" w:type="dxa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в газовой отрасли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tabs>
                <w:tab w:val="left" w:pos="18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деятельности по нормативно-правовому обеспечению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газовой 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осуществление экспертной деятельности в газовой отрасли, осуществление деятельности по договорному сопровождению в газовой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отрасли,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деятельности по корпоративному управлению в газовой отрасли,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консалтинговой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в газовой отрасли, осуществление претензионно-исковой деятельности в газовой отрасли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4" w:type="dxa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pStyle w:val="894"/>
        <w:numPr>
          <w:ilvl w:val="0"/>
          <w:numId w:val="7"/>
        </w:numPr>
        <w:jc w:val="center"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ОРГАНИЗАЦИОННО-ПЕДАГОГИЧЕСКИЕ УСЛОВИЯ РЕАЛИЗАЦИИ ПРОГРАММЫ</w:t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pStyle w:val="894"/>
        <w:ind w:left="1070"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5"/>
        <w:jc w:val="both"/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.1.</w:t>
      </w:r>
      <w:r>
        <w:rPr>
          <w:rFonts w:ascii="Times New Roman" w:hAnsi="Times New Roman"/>
          <w:b/>
          <w:sz w:val="24"/>
          <w:szCs w:val="24"/>
        </w:rPr>
        <w:tab/>
        <w:t xml:space="preserve">Кадровое обеспечение программы</w:t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Реализацию программы обеспечивают педагогические кадры, имеющие ученую степень.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ab/>
        <w:t xml:space="preserve">Методические указания слушателю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tabs>
          <w:tab w:val="left" w:pos="0" w:leader="none"/>
        </w:tabs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ab/>
        <w:t xml:space="preserve">При изучении курса целесообразно следовать рекомендациям, сделанными в каждом разделе курса о положениях нормативных правовых документов, полезных ссылках, аналитических материалах.</w:t>
      </w:r>
      <w:r>
        <w:rPr>
          <w:rFonts w:ascii="Times New Roman" w:hAnsi="Times New Roman"/>
          <w:spacing w:val="4"/>
          <w:sz w:val="24"/>
          <w:szCs w:val="24"/>
        </w:rPr>
      </w:r>
      <w:r>
        <w:rPr>
          <w:rFonts w:ascii="Times New Roman" w:hAnsi="Times New Roman"/>
          <w:spacing w:val="4"/>
          <w:sz w:val="24"/>
          <w:szCs w:val="24"/>
        </w:rPr>
      </w:r>
    </w:p>
    <w:p>
      <w:pPr>
        <w:jc w:val="both"/>
        <w:tabs>
          <w:tab w:val="left" w:pos="0" w:leader="none"/>
        </w:tabs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ab/>
      </w:r>
      <w:bookmarkStart w:id="8" w:name="_Hlk137826913"/>
      <w:r>
        <w:rPr>
          <w:rFonts w:ascii="Times New Roman" w:hAnsi="Times New Roman"/>
          <w:spacing w:val="4"/>
          <w:sz w:val="24"/>
          <w:szCs w:val="24"/>
        </w:rPr>
        <w:t xml:space="preserve">Завершающей стадией обучения является ит</w:t>
      </w:r>
      <w:r>
        <w:rPr>
          <w:rFonts w:ascii="Times New Roman" w:hAnsi="Times New Roman"/>
          <w:spacing w:val="4"/>
          <w:sz w:val="24"/>
          <w:szCs w:val="24"/>
        </w:rPr>
        <w:t xml:space="preserve">оговая аттестация в форме экзамена</w:t>
      </w:r>
      <w:r>
        <w:rPr>
          <w:rFonts w:ascii="Times New Roman" w:hAnsi="Times New Roman"/>
          <w:spacing w:val="4"/>
          <w:sz w:val="24"/>
          <w:szCs w:val="24"/>
        </w:rPr>
        <w:t xml:space="preserve">. </w:t>
      </w:r>
      <w:bookmarkEnd w:id="8"/>
      <w:r>
        <w:rPr>
          <w:rFonts w:ascii="Times New Roman" w:hAnsi="Times New Roman"/>
          <w:spacing w:val="4"/>
          <w:sz w:val="24"/>
          <w:szCs w:val="24"/>
        </w:rPr>
      </w:r>
      <w:r>
        <w:rPr>
          <w:rFonts w:ascii="Times New Roman" w:hAnsi="Times New Roman"/>
          <w:spacing w:val="4"/>
          <w:sz w:val="24"/>
          <w:szCs w:val="24"/>
        </w:rPr>
      </w:r>
    </w:p>
    <w:p>
      <w:pPr>
        <w:ind w:left="1070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5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.  ОБРАЗОВАТЕЛЬНЫЕ ТЕХНОЛОГИИ, ТЕКУЩИЙ КОНТРОЛЬ</w:t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Для достижения образовательных целей при реализации программы используются современные, эффективные образовательные технологии и средства обучения.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Завершающей стадией обучения является ит</w:t>
      </w:r>
      <w:r>
        <w:rPr>
          <w:rFonts w:ascii="Times New Roman" w:hAnsi="Times New Roman"/>
          <w:spacing w:val="4"/>
          <w:sz w:val="24"/>
          <w:szCs w:val="24"/>
        </w:rPr>
        <w:t xml:space="preserve">оговая аттестация в форме экзамена</w:t>
      </w:r>
      <w:r>
        <w:rPr>
          <w:rFonts w:ascii="Times New Roman" w:hAnsi="Times New Roman"/>
          <w:spacing w:val="4"/>
          <w:sz w:val="24"/>
          <w:szCs w:val="24"/>
        </w:rPr>
        <w:t xml:space="preserve">.</w:t>
      </w:r>
      <w:r>
        <w:rPr>
          <w:rFonts w:ascii="Times New Roman" w:hAnsi="Times New Roman"/>
          <w:spacing w:val="6"/>
          <w:sz w:val="24"/>
          <w:szCs w:val="24"/>
        </w:rPr>
      </w:r>
      <w:r>
        <w:rPr>
          <w:rFonts w:ascii="Times New Roman" w:hAnsi="Times New Roman"/>
          <w:spacing w:val="6"/>
          <w:sz w:val="24"/>
          <w:szCs w:val="24"/>
        </w:rPr>
      </w:r>
    </w:p>
    <w:tbl>
      <w:tblPr>
        <w:tblStyle w:val="88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49"/>
        <w:gridCol w:w="3543"/>
        <w:gridCol w:w="385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 (модуль)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Образовательные технологии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Текущий контроль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Понятие и источники правового регулирования газового права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Электронное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 с 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атериалами и средствами обучения, представленными в цифровом виде, включая информационные ресурсы;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Грамотная аргументация своей позиции в письменной форме;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доклад-презентация по теме;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Письменный опрос.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регулирование частноправовых отношений в газовой отрасли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Электронное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 с 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атериалами и средствами обучения, представленными в цифровом виде, включая информационные ресурсы;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Грамотная аргументация своей позиции в письменной форме;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доклад-презентация по теме;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Письменный опрос.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регулирование публично-правовых отношений в газовой отрасли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Электронное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 с 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атериалами и средствами обучения, представленными в цифровом виде, включая информационные ресурсы;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Грамотная аргументация своей позиции в письменной форме;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доклад-презентация по теме;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Письменный опрос.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Итоговая аттестация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Экзамен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опрос по пройденным темам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left"/>
        <w:shd w:val="clear" w:color="auto" w:fill="ffffff"/>
        <w:tabs>
          <w:tab w:val="left" w:pos="426" w:leader="none"/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hd w:val="clear" w:color="auto" w:fill="ffffff"/>
        <w:tabs>
          <w:tab w:val="left" w:pos="426" w:leader="none"/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6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. ФОРМЫ АТТЕСТАЦИИ</w:t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9"/>
        <w:jc w:val="center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/>
      <w:bookmarkStart w:id="10" w:name="_Hlk92983953"/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 Промежуточная аттестация проводится в форме зачета.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480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3798"/>
        <w:gridCol w:w="5090"/>
      </w:tblGrid>
      <w:tr>
        <w:tblPrEx/>
        <w:trPr>
          <w:trHeight w:val="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60" w:leader="none"/>
                <w:tab w:val="left" w:pos="426" w:leader="none"/>
              </w:tabs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8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дисциплин (модулей)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0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Перечень примерных вопросов для зачетов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</w:p>
        </w:tc>
      </w:tr>
      <w:tr>
        <w:tblPrEx/>
        <w:trPr>
          <w:trHeight w:val="14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360" w:leader="none"/>
                <w:tab w:val="left" w:pos="426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8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Понятие и источники правового регулирования газового права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0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21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Понятие газового права.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r>
          </w:p>
          <w:p>
            <w:pPr>
              <w:pStyle w:val="894"/>
              <w:numPr>
                <w:ilvl w:val="0"/>
                <w:numId w:val="21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Стратегические задачи развития газовой отрасли.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r>
          </w:p>
          <w:p>
            <w:pPr>
              <w:pStyle w:val="894"/>
              <w:ind w:left="0"/>
              <w:jc w:val="both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3. Источники правового регулирования общественных отношений в газовой отрасли.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9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360" w:leader="none"/>
                <w:tab w:val="left" w:pos="426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8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регулирование частноправовых отношений в газовой отрасли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0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22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Правовой режим газа как объекта частноправовых отношений в сфере энергетики.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</w:p>
          <w:p>
            <w:pPr>
              <w:pStyle w:val="894"/>
              <w:numPr>
                <w:ilvl w:val="0"/>
                <w:numId w:val="22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Правовой режим энергетических объектов газовой отрасли.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</w:p>
          <w:p>
            <w:pPr>
              <w:pStyle w:val="894"/>
              <w:numPr>
                <w:ilvl w:val="0"/>
                <w:numId w:val="22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Правовое положение субъектов частноправовых отношений в сфере энергетики.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</w:p>
          <w:p>
            <w:pPr>
              <w:pStyle w:val="894"/>
              <w:numPr>
                <w:ilvl w:val="0"/>
                <w:numId w:val="22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Договорное регулирование отношений по купле-продаже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(поставке) газа, по технологическому присоединению к магистральным газопроводам, к газораспределительным сетям, транспортировке, перевозке, хранению газа.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  <w:r/>
          </w:p>
        </w:tc>
      </w:tr>
      <w:tr>
        <w:tblPrEx/>
        <w:trPr>
          <w:trHeight w:val="21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60" w:leader="none"/>
                <w:tab w:val="left" w:pos="426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contextualSpacing/>
              <w:jc w:val="center"/>
              <w:tabs>
                <w:tab w:val="left" w:pos="360" w:leader="none"/>
                <w:tab w:val="left" w:pos="426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contextualSpacing/>
              <w:jc w:val="center"/>
              <w:tabs>
                <w:tab w:val="left" w:pos="360" w:leader="none"/>
                <w:tab w:val="left" w:pos="426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contextualSpacing/>
              <w:jc w:val="center"/>
              <w:tabs>
                <w:tab w:val="left" w:pos="360" w:leader="none"/>
                <w:tab w:val="left" w:pos="426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contextualSpacing/>
              <w:jc w:val="center"/>
              <w:tabs>
                <w:tab w:val="left" w:pos="360" w:leader="none"/>
                <w:tab w:val="left" w:pos="426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8" w:type="dxa"/>
            <w:textDirection w:val="lrTb"/>
            <w:noWrap w:val="false"/>
          </w:tcPr>
          <w:p>
            <w:pPr>
              <w:ind w:right="34"/>
              <w:jc w:val="both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right="34"/>
              <w:jc w:val="both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right="34"/>
              <w:jc w:val="both"/>
              <w:tabs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регулирование публично-правовых отношений в газовой отрасли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0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24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Цели, задачи, направления государственного регулирования и контроля в сфере энергетики.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</w:p>
          <w:p>
            <w:pPr>
              <w:pStyle w:val="894"/>
              <w:numPr>
                <w:ilvl w:val="0"/>
                <w:numId w:val="24"/>
              </w:numPr>
              <w:contextualSpacing/>
              <w:ind w:left="0" w:right="0" w:firstLine="0"/>
              <w:jc w:val="both"/>
              <w:spacing w:before="0" w:after="200" w:line="240" w:lineRule="auto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Органы, уполномоченные на осуществление государственного регулирования и (или) контроля в сфере энергетики.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14:ligatures w14:val="none"/>
              </w:rPr>
            </w:r>
            <w:r/>
          </w:p>
        </w:tc>
      </w:tr>
    </w:tbl>
    <w:p>
      <w:pPr>
        <w:ind w:firstLine="709"/>
        <w:jc w:val="both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</w:t>
      </w:r>
      <w:r>
        <w:rPr>
          <w:rFonts w:ascii="Times New Roman" w:hAnsi="Times New Roman"/>
          <w:sz w:val="24"/>
          <w:szCs w:val="24"/>
        </w:rPr>
        <w:t xml:space="preserve">Итоговая аттестация проводится в форме экзамена. Экзамен проводится в виде </w:t>
      </w:r>
      <w:r>
        <w:rPr>
          <w:rFonts w:ascii="Times New Roman" w:hAnsi="Times New Roman"/>
          <w:sz w:val="24"/>
          <w:szCs w:val="24"/>
        </w:rPr>
        <w:t xml:space="preserve">письменного опроса</w:t>
      </w:r>
      <w:r>
        <w:rPr>
          <w:rFonts w:ascii="Times New Roman" w:hAnsi="Times New Roman"/>
          <w:sz w:val="24"/>
          <w:szCs w:val="24"/>
        </w:rPr>
        <w:t xml:space="preserve">. Программа считается освоенной, если обучающийся пр</w:t>
      </w:r>
      <w:r>
        <w:rPr>
          <w:rFonts w:ascii="Times New Roman" w:hAnsi="Times New Roman"/>
          <w:sz w:val="24"/>
          <w:szCs w:val="24"/>
        </w:rPr>
        <w:t xml:space="preserve">ошел письменный опрос с оценкой </w:t>
      </w:r>
      <w:r>
        <w:rPr>
          <w:rFonts w:ascii="Times New Roman" w:hAnsi="Times New Roman"/>
          <w:sz w:val="24"/>
          <w:szCs w:val="24"/>
        </w:rPr>
        <w:t xml:space="preserve">«отлично», «хорошо», «удовлетворительно»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Приводится перечень вопросов для</w:t>
      </w:r>
      <w:r>
        <w:rPr>
          <w:rFonts w:ascii="Times New Roman" w:hAnsi="Times New Roman"/>
          <w:sz w:val="24"/>
          <w:szCs w:val="24"/>
        </w:rPr>
        <w:t xml:space="preserve"> опроса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Итоговая аттестация может быть проведена в виде теста.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знаний и сформированных компетенций обучающихся определяется следующими оценками: положительными - «отлично», «хорошо», «удовлетворительно» и </w:t>
      </w:r>
      <w:r>
        <w:rPr>
          <w:rFonts w:ascii="Times New Roman" w:hAnsi="Times New Roman"/>
          <w:sz w:val="24"/>
          <w:szCs w:val="24"/>
        </w:rPr>
        <w:t xml:space="preserve">отрицательной - «неудовлетворительно». Оценка «отлично» предполагает знание всего программного материала, умение формулировать полные ответы на вопросы при сдаче экзамена, умение последовательно излагать материал прогр</w:t>
      </w:r>
      <w:r>
        <w:rPr>
          <w:rFonts w:ascii="Times New Roman" w:hAnsi="Times New Roman"/>
          <w:sz w:val="24"/>
          <w:szCs w:val="24"/>
        </w:rPr>
        <w:t xml:space="preserve">аммы; оценка «хорошо» предполагает знание всего программного материала, умение формулировать ответы без затруднений, допуская незначительные ошибки; оценка «удовлетворительно» предполагает знание части программного материала, при применении знаний на практ</w:t>
      </w:r>
      <w:r>
        <w:rPr>
          <w:rFonts w:ascii="Times New Roman" w:hAnsi="Times New Roman"/>
          <w:sz w:val="24"/>
          <w:szCs w:val="24"/>
        </w:rPr>
        <w:t xml:space="preserve">ике, в случае затруднений, допускается помощь педагога; оценка «неудовлетворительно» предполагает неудовлетворительное знание основных понятий программы, неумение формулировать отдельные выводы, отсутствие логики и последовательности в изложении материала.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5"/>
        <w:jc w:val="both"/>
        <w:tabs>
          <w:tab w:val="left" w:pos="42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Примерные вопросы для итоговой аттестации: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426" w:firstLine="0"/>
        <w:spacing w:line="240" w:lineRule="auto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 принципы газового права.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426" w:firstLine="0"/>
        <w:spacing w:line="240" w:lineRule="auto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современного газового законодательства.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426" w:firstLine="0"/>
        <w:spacing w:line="240" w:lineRule="auto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Международно-правовое регулирование в </w:t>
      </w:r>
      <w:r>
        <w:rPr>
          <w:rFonts w:ascii="Times New Roman" w:hAnsi="Times New Roman"/>
          <w:sz w:val="24"/>
          <w:szCs w:val="24"/>
        </w:rPr>
        <w:t xml:space="preserve">газовой  отрасли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426" w:firstLine="0"/>
        <w:spacing w:line="240" w:lineRule="auto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Правовое регулирование частноправовых отношений в газовой отрасли.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426" w:firstLine="0"/>
        <w:jc w:val="both"/>
        <w:spacing w:line="240" w:lineRule="auto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Правовое регулирование публично-правовых отношений в газовой отрасли.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hd w:val="nil"/>
      </w:pPr>
      <w:r>
        <w:br w:type="page" w:clear="all"/>
      </w:r>
      <w:r/>
    </w:p>
    <w:p>
      <w:r/>
      <w:r/>
    </w:p>
    <w:p>
      <w:pPr>
        <w:ind w:left="1070"/>
        <w:jc w:val="center"/>
        <w:shd w:val="clear" w:color="auto" w:fill="ffffff"/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7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. РЕСУРСНОЕ ОБЕСПЕЧЕНИЕ ПРОГРАММЫ</w:t>
      </w: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.1 Учебно-методическое и информационное обеспечение программы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widowControl w:val="off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Таблица 7</w:t>
      </w:r>
      <w:r>
        <w:rPr>
          <w:rFonts w:ascii="Times New Roman" w:hAnsi="Times New Roman"/>
          <w:sz w:val="24"/>
          <w:szCs w:val="24"/>
          <w:lang w:bidi="ru-RU"/>
        </w:rPr>
        <w:t xml:space="preserve">.1.1 – Учебно-методическое обеспечение программы</w:t>
      </w:r>
      <w:r>
        <w:rPr>
          <w:rFonts w:ascii="Times New Roman" w:hAnsi="Times New Roman"/>
          <w:sz w:val="24"/>
          <w:szCs w:val="24"/>
          <w:lang w:bidi="ru-RU"/>
        </w:rPr>
      </w:r>
      <w:r>
        <w:rPr>
          <w:rFonts w:ascii="Times New Roman" w:hAnsi="Times New Roman"/>
          <w:sz w:val="24"/>
          <w:szCs w:val="24"/>
          <w:lang w:bidi="ru-RU"/>
        </w:rPr>
      </w:r>
    </w:p>
    <w:tbl>
      <w:tblPr>
        <w:tblStyle w:val="889"/>
        <w:tblW w:w="9779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7511"/>
        <w:gridCol w:w="2268"/>
      </w:tblGrid>
      <w:tr>
        <w:tblPrEx/>
        <w:trPr>
          <w:trHeight w:val="7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 xml:space="preserve">Библиографическое описание издания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r>
          </w:p>
          <w:p>
            <w:pPr>
              <w:ind w:right="163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 xml:space="preserve">(автор, заглавие, вид, место и год издания, кол. стр.)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Электронные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ресурсы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6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Актуальные задачи энергетического права/монография под ред. В.В. Романовой. М.: ООО «Интеграция: Образование и Наука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»,  2022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.-254 с.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</w:tr>
      <w:tr>
        <w:tblPrEx/>
        <w:trPr>
          <w:trHeight w:val="8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Романова В.В. Энергетический правопорядок: современное состояние и задачи: [монография] Москва: Издательство «Юрист», 2016. – 253 с.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8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Романова В.В. Энергетическое право: учебник для подготовки кадров высшей квалификации / В.В. Романова. — Москва: Издательская группа «Юрист», 2021. — 288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c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Энергетические рынки: проблемы и задачи правового регулирования: монография / В.В. Романова, А.Б. Бондаренко, А.Б. Ананьев [и др.]; под редакцией В.В. Романовой. — Москва: Издательство «Юрист», 2018. — 240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c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облемы и задачи правового обеспечения энергетической безопасности и защиты прав участников энергетических рынков: монография / В.В. Романова, И.В. Гудков, Ю.В. Липин [и др.]; под редакцией В.В. Романовой. — Москва: Издательская группа «Юрист», 2019. — 264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c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1" w:type="dxa"/>
            <w:textDirection w:val="lrTb"/>
            <w:noWrap w:val="false"/>
          </w:tcPr>
          <w:p>
            <w:pPr>
              <w:ind w:left="57"/>
              <w:jc w:val="both"/>
              <w:tabs>
                <w:tab w:val="left" w:pos="993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Проблемы и тенденции правового регулирования в области использования атомной энергии: монография / [В.В. Романова, К.А. 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Стальмахов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, А.А. 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Шкарбанов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и др.]; под ред.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В.В.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Романовой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Москва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Издательство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», 2017.— 223 с.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  <w:p>
            <w:pPr>
              <w:jc w:val="center"/>
              <w:tabs>
                <w:tab w:val="left" w:pos="708" w:leader="none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</w:tbl>
    <w:p>
      <w:pPr>
        <w:jc w:val="both"/>
        <w:widowControl w:val="off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sz w:val="24"/>
          <w:szCs w:val="24"/>
          <w:lang w:bidi="ru-RU"/>
        </w:rPr>
      </w:r>
      <w:r>
        <w:rPr>
          <w:rFonts w:ascii="Times New Roman" w:hAnsi="Times New Roman"/>
          <w:sz w:val="24"/>
          <w:szCs w:val="24"/>
          <w:lang w:bidi="ru-RU"/>
        </w:rPr>
      </w:r>
    </w:p>
    <w:p>
      <w:pPr>
        <w:jc w:val="both"/>
        <w:widowControl w:val="off"/>
        <w:rPr>
          <w:rFonts w:ascii="Times New Roman" w:hAnsi="Times New Roman"/>
          <w:sz w:val="24"/>
          <w:szCs w:val="24"/>
          <w:highlight w:val="none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Таблица 7</w:t>
      </w:r>
      <w:r>
        <w:rPr>
          <w:rFonts w:ascii="Times New Roman" w:hAnsi="Times New Roman"/>
          <w:sz w:val="24"/>
          <w:szCs w:val="24"/>
          <w:lang w:bidi="ru-RU"/>
        </w:rPr>
        <w:t xml:space="preserve">.1.2 – Перечень современных профессиональных баз данных (СПБД)</w:t>
      </w:r>
      <w:r>
        <w:rPr>
          <w:rFonts w:ascii="Times New Roman" w:hAnsi="Times New Roman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sz w:val="24"/>
          <w:szCs w:val="24"/>
          <w:highlight w:val="none"/>
          <w:lang w:bidi="ru-RU"/>
        </w:rPr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4"/>
        <w:gridCol w:w="926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Наименование СПБД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Электронная библиотечная система </w:t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IPR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b</w:t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ooks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hyperlink r:id="rId11" w:tooltip="https://www.iprbookshop.ru/" w:history="1">
              <w:r>
                <w:rPr>
                  <w:rStyle w:val="895"/>
                  <w:rFonts w:ascii="Times New Roman" w:hAnsi="Times New Roman"/>
                  <w:sz w:val="24"/>
                  <w:szCs w:val="24"/>
                  <w:lang w:bidi="ru-RU"/>
                </w:rPr>
                <w:t xml:space="preserve">https://www.iprbookshop.ru/</w:t>
              </w:r>
            </w:hyperlink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Научная электронная библиотека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КиберЛени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ка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 – </w:t>
            </w:r>
            <w:hyperlink r:id="rId12" w:tooltip="http://www.cyberleninka.ru" w:history="1">
              <w:r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 w:bidi="ru-RU"/>
                </w:rPr>
                <w:t xml:space="preserve">www</w:t>
              </w:r>
              <w:r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bidi="ru-RU"/>
                </w:rPr>
                <w:t xml:space="preserve">.</w:t>
              </w:r>
              <w:r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bidi="ru-RU"/>
                </w:rPr>
                <w:t xml:space="preserve">cyberleninka.ru</w:t>
              </w:r>
            </w:hyperlink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Электронная библиотечная система ЭБС ЮРАЙТ - </w:t>
            </w:r>
            <w:hyperlink r:id="rId13" w:tooltip="https://urait.ru" w:history="1">
              <w:r>
                <w:rPr>
                  <w:rStyle w:val="895"/>
                  <w:rFonts w:ascii="Times New Roman" w:hAnsi="Times New Roman"/>
                  <w:sz w:val="24"/>
                  <w:szCs w:val="24"/>
                  <w:lang w:bidi="ru-RU"/>
                </w:rPr>
                <w:t xml:space="preserve">https://urait.ru</w:t>
              </w:r>
            </w:hyperlink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Электронная библиотечная система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ЗНАНИУМ (</w:t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ZNANIUM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- </w:t>
            </w:r>
            <w:hyperlink r:id="rId14" w:tooltip="https://znanium.com" w:history="1">
              <w:r>
                <w:rPr>
                  <w:rStyle w:val="895"/>
                  <w:rFonts w:ascii="Times New Roman" w:hAnsi="Times New Roman"/>
                  <w:sz w:val="24"/>
                  <w:szCs w:val="24"/>
                  <w:lang w:bidi="ru-RU"/>
                </w:rPr>
                <w:t xml:space="preserve">https://znanium.com</w:t>
              </w:r>
            </w:hyperlink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учная электронная библиотека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 w:bidi="ru-RU"/>
              </w:rPr>
              <w:t xml:space="preserve">eLIBRARRY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 – </w:t>
            </w:r>
            <w:hyperlink r:id="rId15" w:tooltip="http://www.elibrary.ru" w:history="1">
              <w:r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 w:bidi="ru-RU"/>
                </w:rPr>
                <w:t xml:space="preserve">www</w:t>
              </w:r>
              <w:r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bidi="ru-RU"/>
                </w:rPr>
                <w:t xml:space="preserve">.</w:t>
              </w:r>
              <w:r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bidi="ru-RU"/>
                </w:rPr>
                <w:t xml:space="preserve">elibrary.ru</w:t>
              </w:r>
            </w:hyperlink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r>
          </w:p>
        </w:tc>
      </w:tr>
    </w:tbl>
    <w:p>
      <w:pPr>
        <w:widowControl w:val="off"/>
        <w:rPr>
          <w:rFonts w:ascii="Times New Roman" w:hAnsi="Times New Roman"/>
          <w:sz w:val="24"/>
          <w:szCs w:val="24"/>
          <w:lang w:val="en-US" w:bidi="ru-RU"/>
        </w:rPr>
      </w:pPr>
      <w:r>
        <w:rPr>
          <w:rFonts w:ascii="Times New Roman" w:hAnsi="Times New Roman"/>
          <w:sz w:val="24"/>
          <w:szCs w:val="24"/>
          <w:lang w:val="en-US" w:bidi="ru-RU"/>
        </w:rPr>
      </w:r>
      <w:r>
        <w:rPr>
          <w:rFonts w:ascii="Times New Roman" w:hAnsi="Times New Roman"/>
          <w:sz w:val="24"/>
          <w:szCs w:val="24"/>
          <w:lang w:val="en-US" w:bidi="ru-RU"/>
        </w:rPr>
      </w:r>
      <w:r>
        <w:rPr>
          <w:rFonts w:ascii="Times New Roman" w:hAnsi="Times New Roman"/>
          <w:sz w:val="24"/>
          <w:szCs w:val="24"/>
          <w:lang w:val="en-US" w:bidi="ru-RU"/>
        </w:rPr>
      </w:r>
    </w:p>
    <w:p>
      <w:pPr>
        <w:widowControl w:val="off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Таблица 7</w:t>
      </w:r>
      <w:r>
        <w:rPr>
          <w:rFonts w:ascii="Times New Roman" w:hAnsi="Times New Roman"/>
          <w:sz w:val="24"/>
          <w:szCs w:val="24"/>
          <w:lang w:bidi="ru-RU"/>
        </w:rPr>
        <w:t xml:space="preserve">.1.3 – Перечень информационных справочных систем (ИСС) </w:t>
      </w:r>
      <w:r>
        <w:rPr>
          <w:rFonts w:ascii="Times New Roman" w:hAnsi="Times New Roman"/>
          <w:sz w:val="24"/>
          <w:szCs w:val="24"/>
          <w:lang w:bidi="ru-RU"/>
        </w:rPr>
      </w:r>
      <w:r>
        <w:rPr>
          <w:rFonts w:ascii="Times New Roman" w:hAnsi="Times New Roman"/>
          <w:sz w:val="24"/>
          <w:szCs w:val="24"/>
          <w:lang w:bidi="ru-RU"/>
        </w:rPr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Наименование ИСС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Справочная правовая система КонсультантПлюс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-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www.consultant.ru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Справочная правовая система «ГАРАНТ» - </w:t>
            </w:r>
            <w:hyperlink r:id="rId16" w:tooltip="http://www.garant.ru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 xml:space="preserve">http://www.garant.ru</w:t>
              </w:r>
            </w:hyperlink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Информационно-справочная система «Ко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декс» - </w:t>
            </w:r>
            <w:hyperlink r:id="rId17" w:tooltip="http://www.kodeks.ru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 xml:space="preserve">http://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bidi="ru-RU"/>
                </w:rPr>
                <w:t xml:space="preserve">www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bidi="ru-RU"/>
                </w:rPr>
                <w:t xml:space="preserve">.kodeks.ru</w:t>
              </w:r>
            </w:hyperlink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</w:r>
          </w:p>
        </w:tc>
      </w:tr>
    </w:tbl>
    <w:p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.2 Материально-техническое обеспечение учебного процесса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данной программы созданы</w:t>
      </w:r>
      <w:r>
        <w:rPr>
          <w:rFonts w:ascii="Times New Roman" w:hAnsi="Times New Roman"/>
          <w:sz w:val="24"/>
          <w:szCs w:val="24"/>
        </w:rPr>
        <w:t xml:space="preserve">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7</w:t>
      </w:r>
      <w:r>
        <w:rPr>
          <w:rFonts w:ascii="Times New Roman" w:hAnsi="Times New Roman"/>
          <w:sz w:val="24"/>
          <w:szCs w:val="24"/>
        </w:rPr>
        <w:t xml:space="preserve">.2.1 – Перечень программного обеспечения (ПО)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474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16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Наименование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3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Theme="minorHAnsi"/>
                <w:iCs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 w:eastAsiaTheme="minorHAnsi"/>
                <w:iCs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iCs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6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Theme="minorHAnsi"/>
                <w:iCs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 w:eastAsiaTheme="minorHAnsi"/>
                <w:iCs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iCs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6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iCs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iCs/>
                <w:sz w:val="24"/>
                <w:szCs w:val="24"/>
                <w:lang w:val="en-US" w:bidi="ru-RU"/>
              </w:rPr>
              <w:t xml:space="preserve">3</w:t>
            </w:r>
            <w:r>
              <w:rPr>
                <w:rFonts w:ascii="Times New Roman" w:hAnsi="Times New Roman" w:eastAsiaTheme="minorHAnsi"/>
                <w:iCs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iCs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6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/>
            <w:hyperlink r:id="rId18" w:tooltip="https://webinar.ru/" w:history="1">
              <w:r>
                <w:rPr>
                  <w:rStyle w:val="895"/>
                  <w:rFonts w:ascii="Times New Roman" w:hAnsi="Times New Roman"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Theme="minorHAnsi"/>
                <w:iCs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iCs/>
                <w:sz w:val="24"/>
                <w:szCs w:val="24"/>
                <w:lang w:val="en-US" w:bidi="ru-RU"/>
              </w:rPr>
              <w:t xml:space="preserve">4</w:t>
            </w:r>
            <w:r>
              <w:rPr>
                <w:rFonts w:ascii="Times New Roman" w:hAnsi="Times New Roman" w:eastAsiaTheme="minorHAnsi"/>
                <w:iCs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iCs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6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r/>
      <w:r/>
    </w:p>
    <w:sectPr>
      <w:footerReference w:type="default" r:id="rId9"/>
      <w:footnotePr>
        <w:numFmt w:val="chicago"/>
      </w:footnotePr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207645"/>
      <w:docPartObj>
        <w:docPartGallery w:val="Page Numbers (Bottom of Page)"/>
        <w:docPartUnique w:val="true"/>
      </w:docPartObj>
      <w:rPr/>
    </w:sdtPr>
    <w:sdtContent>
      <w:p>
        <w:pPr>
          <w:pStyle w:val="89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8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pStyle w:val="876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pStyle w:val="877"/>
      <w:isLgl w:val="false"/>
      <w:suff w:val="tab"/>
      <w:lvlText w:val="%1.%2."/>
      <w:lvlJc w:val="left"/>
      <w:pPr>
        <w:ind w:firstLine="720"/>
        <w:tabs>
          <w:tab w:val="num" w:pos="1152" w:leader="none"/>
        </w:tabs>
      </w:pPr>
      <w:rPr>
        <w:rFonts w:hint="default"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pStyle w:val="883"/>
      <w:isLgl w:val="false"/>
      <w:suff w:val="tab"/>
      <w:lvlText w:val="%1.%2.%3."/>
      <w:lvlJc w:val="left"/>
      <w:pPr>
        <w:ind w:left="-141" w:firstLine="709"/>
        <w:tabs>
          <w:tab w:val="num" w:pos="568" w:leader="none"/>
        </w:tabs>
      </w:pPr>
      <w:rPr>
        <w:rFonts w:hint="default" w:ascii="Times New Roman" w:hAnsi="Times New Roman" w:cs="Times New Roman"/>
        <w:b w:val="0"/>
        <w:i w:val="0"/>
        <w:sz w:val="28"/>
      </w:rPr>
    </w:lvl>
    <w:lvl w:ilvl="3">
      <w:start w:val="1"/>
      <w:numFmt w:val="decimal"/>
      <w:pStyle w:val="884"/>
      <w:isLgl w:val="false"/>
      <w:suff w:val="tab"/>
      <w:lvlText w:val="%1.%2.%3.%4."/>
      <w:lvlJc w:val="left"/>
      <w:pPr>
        <w:ind w:left="1432" w:hanging="864"/>
        <w:tabs>
          <w:tab w:val="num" w:pos="1432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6" w:hanging="706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3523" w:hanging="242"/>
        <w:jc w:val="right"/>
      </w:pPr>
      <w:rPr>
        <w:rFonts w:hint="default"/>
        <w:b/>
        <w:bCs/>
        <w:color w:val="auto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371" w:hanging="419"/>
      </w:pPr>
      <w:rPr>
        <w:rFonts w:hint="default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15" w:hanging="1015"/>
      </w:pPr>
      <w:rPr>
        <w:rFonts w:hint="default"/>
        <w:lang w:val="ru-RU" w:eastAsia="en-US" w:bidi="ar-SA"/>
      </w:rPr>
    </w:lvl>
    <w:lvl w:ilvl="4">
      <w:start w:val="1"/>
      <w:numFmt w:val="decimal"/>
      <w:isLgl w:val="false"/>
      <w:suff w:val="tab"/>
      <w:lvlText w:val="%2.%3.%4.%5."/>
      <w:lvlJc w:val="left"/>
      <w:pPr>
        <w:ind w:left="233" w:hanging="10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20" w:hanging="10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689" w:hanging="10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858" w:hanging="10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028" w:hanging="101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6" w:hanging="706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3523" w:hanging="242"/>
        <w:jc w:val="right"/>
      </w:pPr>
      <w:rPr>
        <w:rFonts w:hint="default"/>
        <w:b/>
        <w:bCs/>
        <w:color w:val="auto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371" w:hanging="419"/>
      </w:pPr>
      <w:rPr>
        <w:rFonts w:hint="default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15" w:hanging="1015"/>
      </w:pPr>
      <w:rPr>
        <w:rFonts w:hint="default"/>
        <w:lang w:val="ru-RU" w:eastAsia="en-US" w:bidi="ar-SA"/>
      </w:rPr>
    </w:lvl>
    <w:lvl w:ilvl="4">
      <w:start w:val="1"/>
      <w:numFmt w:val="decimal"/>
      <w:isLgl w:val="false"/>
      <w:suff w:val="tab"/>
      <w:lvlText w:val="%2.%3.%4.%5."/>
      <w:lvlJc w:val="left"/>
      <w:pPr>
        <w:ind w:left="233" w:hanging="10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20" w:hanging="10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689" w:hanging="10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858" w:hanging="10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028" w:hanging="101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9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75"/>
    <w:next w:val="875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78"/>
    <w:link w:val="723"/>
    <w:uiPriority w:val="10"/>
    <w:rPr>
      <w:sz w:val="48"/>
      <w:szCs w:val="48"/>
    </w:rPr>
  </w:style>
  <w:style w:type="paragraph" w:styleId="725">
    <w:name w:val="Subtitle"/>
    <w:basedOn w:val="875"/>
    <w:next w:val="875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78"/>
    <w:link w:val="725"/>
    <w:uiPriority w:val="11"/>
    <w:rPr>
      <w:sz w:val="24"/>
      <w:szCs w:val="24"/>
    </w:rPr>
  </w:style>
  <w:style w:type="paragraph" w:styleId="727">
    <w:name w:val="Quote"/>
    <w:basedOn w:val="875"/>
    <w:next w:val="875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5"/>
    <w:next w:val="875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78"/>
    <w:link w:val="890"/>
    <w:uiPriority w:val="99"/>
  </w:style>
  <w:style w:type="character" w:styleId="732">
    <w:name w:val="Footer Char"/>
    <w:basedOn w:val="878"/>
    <w:link w:val="892"/>
    <w:uiPriority w:val="99"/>
  </w:style>
  <w:style w:type="paragraph" w:styleId="733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892"/>
    <w:uiPriority w:val="99"/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Footnote Text Char"/>
    <w:link w:val="885"/>
    <w:uiPriority w:val="99"/>
    <w:rPr>
      <w:sz w:val="18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  <w:rPr>
      <w:rFonts w:ascii="Calibri" w:hAnsi="Calibri" w:eastAsia="Times New Roman" w:cs="Times New Roman"/>
    </w:rPr>
  </w:style>
  <w:style w:type="paragraph" w:styleId="876">
    <w:name w:val="Heading 1"/>
    <w:basedOn w:val="875"/>
    <w:next w:val="875"/>
    <w:link w:val="881"/>
    <w:qFormat/>
    <w:pPr>
      <w:numPr>
        <w:ilvl w:val="0"/>
        <w:numId w:val="1"/>
      </w:numPr>
      <w:jc w:val="right"/>
      <w:keepNext/>
      <w:spacing w:before="744" w:after="0" w:line="370" w:lineRule="exact"/>
      <w:shd w:val="clear" w:color="auto" w:fill="ffffff"/>
      <w:widowControl w:val="off"/>
      <w:outlineLvl w:val="0"/>
    </w:pPr>
    <w:rPr>
      <w:rFonts w:ascii="Times New Roman" w:hAnsi="Times New Roman" w:eastAsia="Calibri"/>
      <w:b/>
      <w:bCs/>
      <w:color w:val="000000"/>
      <w:spacing w:val="-3"/>
      <w:sz w:val="32"/>
      <w:szCs w:val="32"/>
      <w:lang w:eastAsia="ru-RU"/>
    </w:rPr>
  </w:style>
  <w:style w:type="paragraph" w:styleId="877">
    <w:name w:val="Heading 2"/>
    <w:basedOn w:val="875"/>
    <w:next w:val="875"/>
    <w:link w:val="882"/>
    <w:qFormat/>
    <w:pPr>
      <w:numPr>
        <w:ilvl w:val="1"/>
        <w:numId w:val="1"/>
      </w:numPr>
      <w:keepNext/>
      <w:spacing w:after="0" w:line="240" w:lineRule="auto"/>
      <w:widowControl w:val="off"/>
      <w:outlineLvl w:val="1"/>
    </w:pPr>
    <w:rPr>
      <w:rFonts w:ascii="Times New Roman" w:hAnsi="Times New Roman" w:eastAsia="Calibri"/>
      <w:sz w:val="28"/>
      <w:szCs w:val="28"/>
      <w:lang w:eastAsia="ru-RU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character" w:styleId="881" w:customStyle="1">
    <w:name w:val="Заголовок 1 Знак"/>
    <w:basedOn w:val="878"/>
    <w:link w:val="876"/>
    <w:rPr>
      <w:rFonts w:ascii="Times New Roman" w:hAnsi="Times New Roman" w:eastAsia="Calibri" w:cs="Times New Roman"/>
      <w:b/>
      <w:bCs/>
      <w:color w:val="000000"/>
      <w:spacing w:val="-3"/>
      <w:sz w:val="32"/>
      <w:szCs w:val="32"/>
      <w:shd w:val="clear" w:color="auto" w:fill="ffffff"/>
      <w:lang w:eastAsia="ru-RU"/>
    </w:rPr>
  </w:style>
  <w:style w:type="character" w:styleId="882" w:customStyle="1">
    <w:name w:val="Заголовок 2 Знак"/>
    <w:basedOn w:val="878"/>
    <w:link w:val="877"/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883">
    <w:name w:val="List Continue 2"/>
    <w:basedOn w:val="875"/>
    <w:pPr>
      <w:numPr>
        <w:ilvl w:val="2"/>
        <w:numId w:val="1"/>
      </w:numPr>
      <w:spacing w:after="120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styleId="884">
    <w:name w:val="List Continue 3"/>
    <w:basedOn w:val="875"/>
    <w:pPr>
      <w:numPr>
        <w:ilvl w:val="3"/>
        <w:numId w:val="1"/>
      </w:numPr>
      <w:spacing w:after="120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styleId="885">
    <w:name w:val="footnote text"/>
    <w:basedOn w:val="875"/>
    <w:link w:val="88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6" w:customStyle="1">
    <w:name w:val="Текст сноски Знак"/>
    <w:basedOn w:val="878"/>
    <w:link w:val="885"/>
    <w:uiPriority w:val="99"/>
    <w:semiHidden/>
    <w:rPr>
      <w:rFonts w:ascii="Calibri" w:hAnsi="Calibri" w:eastAsia="Times New Roman" w:cs="Times New Roman"/>
      <w:sz w:val="20"/>
      <w:szCs w:val="20"/>
    </w:rPr>
  </w:style>
  <w:style w:type="character" w:styleId="887">
    <w:name w:val="footnote reference"/>
    <w:basedOn w:val="878"/>
    <w:uiPriority w:val="99"/>
    <w:semiHidden/>
    <w:unhideWhenUsed/>
    <w:rPr>
      <w:vertAlign w:val="superscript"/>
    </w:rPr>
  </w:style>
  <w:style w:type="table" w:styleId="888">
    <w:name w:val="Table Grid"/>
    <w:basedOn w:val="8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9" w:customStyle="1">
    <w:name w:val="Table Normal9"/>
    <w:uiPriority w:val="2"/>
    <w:semiHidden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90">
    <w:name w:val="Header"/>
    <w:basedOn w:val="875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878"/>
    <w:link w:val="890"/>
    <w:uiPriority w:val="99"/>
    <w:rPr>
      <w:rFonts w:ascii="Calibri" w:hAnsi="Calibri" w:eastAsia="Times New Roman" w:cs="Times New Roman"/>
    </w:rPr>
  </w:style>
  <w:style w:type="paragraph" w:styleId="892">
    <w:name w:val="Footer"/>
    <w:basedOn w:val="875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878"/>
    <w:link w:val="892"/>
    <w:uiPriority w:val="99"/>
    <w:rPr>
      <w:rFonts w:ascii="Calibri" w:hAnsi="Calibri" w:eastAsia="Times New Roman" w:cs="Times New Roman"/>
    </w:rPr>
  </w:style>
  <w:style w:type="paragraph" w:styleId="894">
    <w:name w:val="List Paragraph"/>
    <w:basedOn w:val="875"/>
    <w:uiPriority w:val="34"/>
    <w:qFormat/>
    <w:pPr>
      <w:contextualSpacing/>
      <w:ind w:left="720"/>
    </w:pPr>
  </w:style>
  <w:style w:type="character" w:styleId="895">
    <w:name w:val="Hyperlink"/>
    <w:basedOn w:val="87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iprbookshop.ru/" TargetMode="External"/><Relationship Id="rId12" Type="http://schemas.openxmlformats.org/officeDocument/2006/relationships/hyperlink" Target="http://www.cyberleninka.ru" TargetMode="External"/><Relationship Id="rId13" Type="http://schemas.openxmlformats.org/officeDocument/2006/relationships/hyperlink" Target="https://urait.ru" TargetMode="External"/><Relationship Id="rId14" Type="http://schemas.openxmlformats.org/officeDocument/2006/relationships/hyperlink" Target="https://znanium.com" TargetMode="External"/><Relationship Id="rId15" Type="http://schemas.openxmlformats.org/officeDocument/2006/relationships/hyperlink" Target="http://www.elibrary.ru" TargetMode="External"/><Relationship Id="rId16" Type="http://schemas.openxmlformats.org/officeDocument/2006/relationships/hyperlink" Target="http://www.garant.ru" TargetMode="External"/><Relationship Id="rId17" Type="http://schemas.openxmlformats.org/officeDocument/2006/relationships/hyperlink" Target="http://www.kodeks.ru" TargetMode="External"/><Relationship Id="rId18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13A5-8A20-4EE3-8E8D-80650E14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Gazprom JSC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Варвара Владимировна</dc:creator>
  <cp:revision>31</cp:revision>
  <dcterms:created xsi:type="dcterms:W3CDTF">2022-02-02T17:24:00Z</dcterms:created>
  <dcterms:modified xsi:type="dcterms:W3CDTF">2025-04-17T12:33:33Z</dcterms:modified>
</cp:coreProperties>
</file>