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«Научно-исследовательский «Центр развития энергетического права и современной правовой науки имени 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В.А.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 Мусина»</w:t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</w:p>
        </w:tc>
        <w:tc>
          <w:tcPr>
            <w:tcW w:w="80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</w:tc>
      </w:tr>
    </w:tbl>
    <w:p>
      <w:pPr>
        <w:ind w:right="567"/>
        <w:jc w:val="right"/>
        <w:spacing w:after="0" w:line="240" w:lineRule="auto"/>
        <w:widowControl w:val="off"/>
        <w:tabs>
          <w:tab w:val="left" w:pos="4075" w:leader="none"/>
        </w:tabs>
        <w:rPr>
          <w:rFonts w:ascii="Times New Roman" w:hAnsi="Times New Roman" w:eastAsia="Times New Roman" w:cs="Times New Roman"/>
          <w:b/>
          <w:caps/>
          <w:sz w:val="28"/>
          <w14:ligatures w14:val="none"/>
        </w:rPr>
      </w:pPr>
      <w:r/>
      <w:bookmarkStart w:id="0" w:name="_Hlk24113178"/>
      <w:r/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Программа экзамена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 по дисциплине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Теория государства и права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sz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853"/>
        </w:trPr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Направление подготовки/научная специальность 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5.1.3.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Частно-правовые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цивилистические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5.1.5. Международно-правовые науки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Направленность (профиль) программы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 w:firstLine="33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Публично-правовые отношения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Частно-правовые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 отношения.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Международно-правовые отношения.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Уровень высшего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Форма обучения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</w:tr>
    </w:tbl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202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г.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Максимова 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О.Д.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письменные вопросы,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202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год.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АНО «Научно-исследовательский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«Центр развития энергетического права 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современной правовой науки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имени 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В.А.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Мусина», методическое оформление, 202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sz w:val="24"/>
          <w14:ligatures w14:val="none"/>
        </w:rPr>
        <w:t xml:space="preserve">.</w:t>
      </w:r>
      <w:bookmarkEnd w:id="0"/>
      <w:r/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2"/>
        </w:numPr>
        <w:jc w:val="center"/>
        <w:spacing w:before="74" w:after="0" w:line="240" w:lineRule="auto"/>
        <w:widowControl w:val="off"/>
        <w:tabs>
          <w:tab w:val="left" w:pos="129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ОБЩИЕ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1"/>
          <w:numId w:val="1"/>
        </w:numPr>
        <w:ind w:right="672" w:firstLine="710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экзамена по дисциплине 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Теория государства и права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(далее – Программа экзамена) разработана в соответствии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- Федеральным законом от 29 декабря 2012 г. № 273-ФЗ «Об образовании в Российской Федерации»;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729"/>
        <w:numPr>
          <w:ilvl w:val="0"/>
          <w:numId w:val="24"/>
        </w:num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30 ноября 2021 г. № 2122 «Об утверждении Положения о подготовке научных и научно-педагогических кад</w:t>
      </w:r>
      <w:r>
        <w:rPr>
          <w:rFonts w:ascii="Times New Roman" w:hAnsi="Times New Roman"/>
          <w:sz w:val="28"/>
        </w:rPr>
        <w:t xml:space="preserve">ров в аспирантуре (адъюнктуре)»;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729"/>
        <w:numPr>
          <w:ilvl w:val="0"/>
          <w:numId w:val="24"/>
        </w:num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Приказом Минобрнауки России от 20 октября 2021 г. № 951 «Об утверждении федеральных государствен</w:t>
      </w:r>
      <w:r>
        <w:rPr>
          <w:rFonts w:ascii="Times New Roman" w:hAnsi="Times New Roman"/>
          <w:sz w:val="28"/>
        </w:rPr>
        <w:t xml:space="preserve">ных требований к структуре программ подготовки научных и научно-педагогических кадров в аспирантуре (адъюнктуре), </w:t>
      </w:r>
      <w:r>
        <w:rPr>
          <w:rFonts w:ascii="Times New Roman" w:hAnsi="Times New Roman"/>
          <w:sz w:val="28"/>
          <w:szCs w:val="28"/>
        </w:rPr>
        <w:t xml:space="preserve">условиям их реализации, срокам освоения этих программ с учетом различных форм обучения, образовательных технологий и особенностей отдельных ка</w:t>
      </w:r>
      <w:r>
        <w:rPr>
          <w:rFonts w:ascii="Times New Roman" w:hAnsi="Times New Roman"/>
          <w:sz w:val="28"/>
          <w:szCs w:val="28"/>
        </w:rPr>
        <w:t xml:space="preserve">тегорий аспирантов (адъ</w:t>
      </w:r>
      <w:r>
        <w:rPr>
          <w:rFonts w:ascii="Times New Roman" w:hAnsi="Times New Roman"/>
          <w:sz w:val="28"/>
          <w:szCs w:val="28"/>
        </w:rPr>
        <w:t xml:space="preserve">юнктов);</w:t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numPr>
          <w:ilvl w:val="0"/>
          <w:numId w:val="24"/>
        </w:num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bookmarkStart w:id="1" w:name="приказом_Минобрнауки_России_от_28_марта_"/>
      <w:r>
        <w:rPr>
          <w:rFonts w:ascii="Times New Roman" w:hAnsi="Times New Roman"/>
          <w:sz w:val="28"/>
          <w:szCs w:val="28"/>
        </w:rPr>
      </w:r>
      <w:bookmarkEnd w:id="1"/>
      <w:r>
        <w:rPr>
          <w:rFonts w:ascii="Times New Roman" w:hAnsi="Times New Roman"/>
          <w:sz w:val="28"/>
          <w:szCs w:val="28"/>
        </w:rPr>
        <w:t xml:space="preserve">Приказом Минобрнауки России от 06.08.2021 N 721 </w:t>
      </w:r>
      <w:r>
        <w:rPr>
          <w:rFonts w:ascii="Times New Roman" w:hAnsi="Times New Roman"/>
          <w:sz w:val="28"/>
          <w:szCs w:val="28"/>
        </w:rPr>
        <w:t xml:space="preserve">«Об   утверждении Порядка приема на обучение по образовательным </w:t>
      </w:r>
      <w:r>
        <w:rPr>
          <w:rFonts w:ascii="Times New Roman" w:hAnsi="Times New Roman"/>
          <w:sz w:val="28"/>
          <w:szCs w:val="28"/>
        </w:rPr>
        <w:t xml:space="preserve">программам высшего образования – программам подготов</w:t>
      </w:r>
      <w:r>
        <w:rPr>
          <w:rFonts w:ascii="Times New Roman" w:hAnsi="Times New Roman"/>
          <w:sz w:val="28"/>
          <w:szCs w:val="28"/>
        </w:rPr>
        <w:t xml:space="preserve">ки научных </w:t>
      </w:r>
      <w:r>
        <w:rPr>
          <w:rFonts w:ascii="Times New Roman" w:hAnsi="Times New Roman"/>
          <w:sz w:val="28"/>
          <w:szCs w:val="28"/>
        </w:rPr>
        <w:t xml:space="preserve"> и научно-педагогических кадров в аспирантуре» (Зарегистрировано в </w:t>
      </w:r>
      <w:r>
        <w:rPr>
          <w:rFonts w:ascii="Times New Roman" w:hAnsi="Times New Roman"/>
          <w:sz w:val="28"/>
          <w:szCs w:val="28"/>
        </w:rPr>
        <w:t xml:space="preserve">Минюсте России 03.09.2021№ 64879);</w:t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numPr>
          <w:ilvl w:val="0"/>
          <w:numId w:val="24"/>
        </w:num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науки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февраля 2021 г. № 118 «Об утверждении номенклатуры научных специальностей, по которым присуждаются ученые степени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numPr>
          <w:ilvl w:val="0"/>
          <w:numId w:val="24"/>
        </w:numPr>
        <w:ind w:left="1100" w:right="669" w:firstLine="74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Уставом и соо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тветствующими локальными нормативными актами Автономной некоммерческой организации «Научно-исследовательский «Центр развития энергетического права и современной правовой науки имени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В.А.Мусина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» (далее - Центр)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099" w:right="664" w:firstLine="71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 экзамена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регламентирует содержание, порядок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сдачи экзамена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экзаменационной комиссии, порядок оценки уровня знаний соискателя ученой степени кандидата наук, и включает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перечень вопросов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выносимых на экзамен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099" w:right="664" w:firstLine="71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 экзамене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по дисциплине 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Теория государства и права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» аспирант должен продемонстрировать </w:t>
      </w:r>
      <w:r>
        <w:rPr>
          <w:rFonts w:ascii="Times New Roman" w:hAnsi="Times New Roman" w:cs="Times New Roman"/>
          <w:sz w:val="28"/>
        </w:rPr>
        <w:t xml:space="preserve">систему знаний о</w:t>
      </w:r>
      <w:r>
        <w:rPr>
          <w:rFonts w:ascii="Times New Roman" w:hAnsi="Times New Roman" w:cs="Times New Roman"/>
          <w:sz w:val="28"/>
        </w:rPr>
        <w:t xml:space="preserve">б</w:t>
      </w:r>
      <w:r>
        <w:rPr>
          <w:rFonts w:ascii="Times New Roman" w:hAnsi="Times New Roman" w:cs="Times New Roman"/>
          <w:sz w:val="28"/>
        </w:rPr>
        <w:t xml:space="preserve">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099" w:right="664" w:firstLine="71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1.4.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Дисциплина «Теория государства и права» </w:t>
      </w:r>
      <w:r>
        <w:rPr>
          <w:rFonts w:ascii="Times New Roman" w:hAnsi="Times New Roman" w:cs="Times New Roman"/>
          <w:sz w:val="28"/>
          <w:highlight w:val="white"/>
        </w:rPr>
        <w:t xml:space="preserve">является обязательной для </w:t>
      </w:r>
      <w:r>
        <w:rPr>
          <w:rFonts w:ascii="Times New Roman" w:hAnsi="Times New Roman" w:cs="Times New Roman"/>
          <w:sz w:val="28"/>
        </w:rPr>
        <w:t xml:space="preserve">освоения аспирантом и направлена на подготовку к сдаче кандидатского экзамена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664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2.ПОРЯДОК СДАЧИ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 Э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кзамен по дисциплине 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Теория государства и права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» по научным специальностям: 5.1.2. Публично-правовые (государственно-правовые) науки; 5.1.3.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Частно-правовые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цивилистические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) науки; 5.1.5. Международно-правовые науки проводится письменно.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Аспирант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выбирает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(два)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вопроса. Один вопрос из первой части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опросов к экзамену, второй вопрос из второй части (Приложение 1).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срок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26 ноября 2024 г.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(включительно)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выполненная работа направляется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электронный адрес Центра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и в копии на электронный адрес преподавателя дисциплины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Предпочтительный объем ответа на один вопрос: 2 страницы формата А4, шрифт 14, полтора интервала.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не представления экзаменационных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ответов 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срок до 26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ноября 2023 г. ( включительно)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уважительной причине, подтвержденной документально, дата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проведения экзамена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переносится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декабря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Уважительными причинами неявки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аспиранта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на экзамен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являются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болезнь аспиранта; необходимость ухода за родственн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иком либо смерть ближайшего родственника; авария; катаклизм и чрезвычайная ситуация; ожидание аварийных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компании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; выполнение государственных обязанностей по работе или в рамках волонтерской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357"/>
        <w:jc w:val="both"/>
        <w:spacing w:line="216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Указанные обстоятельства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должны быть подтверждены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документами,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оформленными в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установленном порядке.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3.ШКАЛА ОЦЕНИВАНИЯ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ЭКЗАМЕНА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tbl>
      <w:tblPr>
        <w:tblW w:w="92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84"/>
        <w:gridCol w:w="6282"/>
      </w:tblGrid>
      <w:tr>
        <w:tblPrEx/>
        <w:trPr>
          <w:jc w:val="center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1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«5»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(отлично)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Продемонстрировано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полное понимание проблемы. Продемонстрировано уверенное владение материалом дисциплины.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Ответы на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вопросы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носят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целостн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ый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характер, выполнены в полном объеме, структурированы.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1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хорошо)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pStyle w:val="730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Продемонстрировано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значительное</w:t>
            </w:r>
            <w:r>
              <w:rPr>
                <w:color w:val="000000"/>
                <w:sz w:val="28"/>
                <w:szCs w:val="28"/>
              </w:rPr>
              <w:t xml:space="preserve"> понимание проблемы обозначенной дисциплиной. </w:t>
            </w:r>
            <w:r>
              <w:rPr>
                <w:sz w:val="28"/>
                <w:szCs w:val="28"/>
              </w:rPr>
            </w:r>
          </w:p>
          <w:p>
            <w:pPr>
              <w:pStyle w:val="731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 xml:space="preserve">ответов </w:t>
            </w:r>
            <w:r>
              <w:rPr>
                <w:color w:val="000000"/>
                <w:sz w:val="28"/>
                <w:szCs w:val="28"/>
              </w:rPr>
              <w:t xml:space="preserve"> раскрыто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но </w:t>
            </w:r>
            <w:r>
              <w:rPr>
                <w:color w:val="000000"/>
                <w:sz w:val="28"/>
                <w:szCs w:val="28"/>
              </w:rPr>
              <w:t xml:space="preserve">ответы не охватывают весь материал, </w:t>
            </w:r>
            <w:r>
              <w:rPr>
                <w:color w:val="000000"/>
                <w:sz w:val="28"/>
                <w:szCs w:val="28"/>
              </w:rPr>
              <w:t xml:space="preserve">структурирование ответов не носит четкий характер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 ответах д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емонстрирует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ся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не полное понимание проблемы. Содержание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ответов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не полностью раскрыто и не рассмотрено с разных точек зрения.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«2»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(неудовлетворительно)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Продемонстрировано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отсутствие понимания проблемы. Продемонстрировано отсутствие владения материалом программы. Ответ не структурирован.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10" w:h="16840" w:orient="portrait"/>
          <w:pgMar w:top="851" w:right="851" w:bottom="1134" w:left="851" w:header="0" w:footer="975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/>
      <w:bookmarkStart w:id="3" w:name="_Hlk151028704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«Теория государства и права»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теории государства и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Методология теории государства и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теории государства и права в системе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наук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признаки государства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взгляды на сущность государства.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Цивилизационный и формационный подходы к типологии государств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теории происхождения государства и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элементы формы государства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правления: понятие и краткая характеристика видов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государственного устройства: понятие и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виды государственного (политического) режима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(аппарат) государства: понятие и признаки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основные признаки органа государства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государства в современный период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понятие и основные признаки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властей и наличие системы «сдержек и противовесов» как принцип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деятельности правового государства.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система современного общества: понятие, структура. Государство в политической системе общества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основные признаки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 системе социальных норм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права: понятие, признаки, структура и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ind w:left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(источники) права: понятие,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акты: понятие, признаки,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Действие нормативно-правовых актов во времени, в пространстве и по кругу лиц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права: понятие и элементы (норма права, отрасль права, институт права)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Правотворчество: понятие и виды. Законотворчество как вид правотворчества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Принципы права: понятие и классификация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Правоотношение: понятие, признаки, структура и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факты: понятие, виды, классификация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норм права и ее формы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норм права. Акты применения норм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Толкование норм права: понятие, виды и способы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признаки и состав правонарушения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правонарушений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признаки и виды юридической ответственности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Правомерное поведение и его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Механизм правового регулирования: понятие, элементы, стадии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Правосознание: понятие, структура, виды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Правовая культура: понятие, структура, уровни (виды)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и свободы человека и гражданина: понятие, классификация, «поколения» прав человека.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21"/>
        </w:numPr>
        <w:ind w:left="0" w:firstLine="35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правовые системы современности: виды, краткая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7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5"/>
      <w:spacing w:line="14" w:lineRule="auto"/>
      <w:rPr>
        <w:sz w:val="19"/>
      </w:rPr>
    </w:pP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23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8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Footer"/>
    <w:basedOn w:val="719"/>
    <w:link w:val="7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basedOn w:val="720"/>
    <w:link w:val="723"/>
    <w:uiPriority w:val="99"/>
  </w:style>
  <w:style w:type="paragraph" w:styleId="725">
    <w:name w:val="Body Text"/>
    <w:basedOn w:val="719"/>
    <w:link w:val="726"/>
    <w:uiPriority w:val="99"/>
    <w:unhideWhenUsed/>
    <w:pPr>
      <w:spacing w:after="120"/>
    </w:pPr>
  </w:style>
  <w:style w:type="character" w:styleId="726" w:customStyle="1">
    <w:name w:val="Основной текст Знак"/>
    <w:basedOn w:val="720"/>
    <w:link w:val="725"/>
    <w:uiPriority w:val="99"/>
  </w:style>
  <w:style w:type="paragraph" w:styleId="727">
    <w:name w:val="Header"/>
    <w:basedOn w:val="719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8" w:customStyle="1">
    <w:name w:val="Верхний колонтитул Знак"/>
    <w:basedOn w:val="720"/>
    <w:link w:val="727"/>
    <w:uiPriority w:val="99"/>
  </w:style>
  <w:style w:type="paragraph" w:styleId="729">
    <w:name w:val="List Paragraph"/>
    <w:basedOn w:val="719"/>
    <w:link w:val="734"/>
    <w:uiPriority w:val="34"/>
    <w:qFormat/>
    <w:pPr>
      <w:contextualSpacing/>
      <w:ind w:left="720"/>
    </w:pPr>
  </w:style>
  <w:style w:type="paragraph" w:styleId="730" w:customStyle="1">
    <w:name w:val="docdata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31">
    <w:name w:val="Normal (Web)"/>
    <w:basedOn w:val="7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32">
    <w:name w:val="Body Text 2"/>
    <w:basedOn w:val="719"/>
    <w:link w:val="733"/>
    <w:semiHidden/>
    <w:unhideWhenUsed/>
    <w:pPr>
      <w:spacing w:after="120" w:line="480" w:lineRule="auto"/>
    </w:pPr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733" w:customStyle="1">
    <w:name w:val="Основной текст 2 Знак"/>
    <w:basedOn w:val="720"/>
    <w:link w:val="732"/>
    <w:semiHidden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734" w:customStyle="1">
    <w:name w:val="Абзац списка Знак"/>
    <w:basedOn w:val="720"/>
    <w:link w:val="729"/>
  </w:style>
  <w:style w:type="paragraph" w:styleId="735" w:customStyle="1">
    <w:name w:val="Style5"/>
    <w:basedOn w:val="719"/>
    <w:pPr>
      <w:ind w:firstLine="713"/>
      <w:jc w:val="both"/>
      <w:spacing w:after="0" w:line="328" w:lineRule="exact"/>
      <w:widowControl w:val="off"/>
    </w:pPr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paragraph" w:styleId="736" w:customStyle="1">
    <w:name w:val="Основной текст (5)"/>
    <w:basedOn w:val="719"/>
    <w:pPr>
      <w:spacing w:after="0" w:line="240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revision>14</cp:revision>
  <dcterms:created xsi:type="dcterms:W3CDTF">2023-11-16T08:35:00Z</dcterms:created>
  <dcterms:modified xsi:type="dcterms:W3CDTF">2024-10-18T16:08:44Z</dcterms:modified>
</cp:coreProperties>
</file>