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5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60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  <w:t xml:space="preserve">ПРОГРАММА ИТОГОВОЙ АТТЕСТАЦИИ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jc w:val="center"/>
        <w:rPr>
          <w:b/>
          <w:sz w:val="28"/>
        </w:rPr>
      </w:pPr>
      <w:r>
        <w:rPr>
          <w:b/>
          <w:sz w:val="28"/>
        </w:rPr>
        <w:t xml:space="preserve">по программе подготовки научных и научно-педагогических кадров в аспирантуре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65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подготовки\научная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5.1.2. Публично-правовые (государственно-правовые) науки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1169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Публично-правовые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5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  <w:ind w:left="0" w:firstLine="0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jc w:val="center"/>
        <w:rPr>
          <w:sz w:val="24"/>
        </w:rPr>
      </w:pPr>
      <w:r>
        <w:rPr>
          <w:sz w:val="24"/>
        </w:rPr>
        <w:t xml:space="preserve">202</w:t>
      </w:r>
      <w:r>
        <w:rPr>
          <w:sz w:val="24"/>
          <w:lang w:val="ru-RU"/>
        </w:rPr>
        <w:t xml:space="preserve">4</w:t>
      </w:r>
      <w:r>
        <w:rPr>
          <w:sz w:val="24"/>
        </w:rPr>
        <w:t xml:space="preserve"> г.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Романова В.В., доктор юридических наук, профессор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Рецензенты: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Клеандров М.И. – доктор юридических наук, профессор, член-корреспондент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Лисицын-Светланов А.Г. - доктор юридических наук, профессор, академик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©Романова В.В. 202</w:t>
      </w:r>
      <w:r>
        <w:rPr>
          <w:rFonts w:hint="default"/>
          <w:sz w:val="24"/>
          <w:lang w:val="ru-RU"/>
        </w:rPr>
        <w:t xml:space="preserve">4</w:t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</w:rPr>
        <w:t xml:space="preserve">имени В.А. Мусина», оформление, 202</w:t>
      </w:r>
      <w:r>
        <w:rPr>
          <w:rFonts w:hint="default"/>
          <w:sz w:val="24"/>
          <w:lang w:val="ru-RU"/>
        </w:rPr>
        <w:t xml:space="preserve">4</w:t>
      </w:r>
      <w:r>
        <w:rPr>
          <w:rFonts w:hint="default"/>
          <w:sz w:val="24"/>
          <w:szCs w:val="24"/>
          <w:highlight w:val="none"/>
          <w:lang w:val="ru-RU"/>
        </w:rPr>
      </w:r>
      <w:r>
        <w:rPr>
          <w:rFonts w:hint="default"/>
          <w:sz w:val="24"/>
          <w:highlight w:val="none"/>
          <w:lang w:val="ru-RU"/>
        </w:rPr>
      </w:r>
      <w:r>
        <w:rPr>
          <w:rFonts w:hint="default"/>
          <w:sz w:val="24"/>
          <w:highlight w:val="none"/>
          <w:lang w:val="ru-RU"/>
        </w:rPr>
      </w:r>
      <w:r>
        <w:rPr>
          <w:rFonts w:hint="default"/>
          <w:sz w:val="24"/>
          <w:szCs w:val="24"/>
          <w:highlight w:val="none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9"/>
        <w:numPr>
          <w:ilvl w:val="0"/>
          <w:numId w:val="1"/>
        </w:numPr>
        <w:ind w:left="0" w:firstLine="0"/>
        <w:jc w:val="center"/>
        <w:spacing w:before="73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ЦЕЛЬ, ЗАДАЧИ, ФОРМЫ ПРОВЕДЕНИЯ ИТОГОВОЙ АТТЕСТАЦИИ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1827" w:right="1611" w:firstLine="0"/>
        <w:jc w:val="both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аттестация является </w:t>
      </w:r>
      <w:r>
        <w:rPr>
          <w:sz w:val="28"/>
          <w:szCs w:val="28"/>
        </w:rPr>
        <w:t xml:space="preserve">третьим структурным элементом Программы аспирантуры в соответствии с требованиями ФГТ по направлению подготовки 5.1.2. Публично-правовые (государственно-правовые) науки.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итоговой аттестации является </w:t>
      </w:r>
      <w:r>
        <w:rPr>
          <w:sz w:val="28"/>
          <w:szCs w:val="28"/>
        </w:rPr>
        <w:t xml:space="preserve">оценка диссертации на предмет соответствия установленным критериям Программы аспирантуры по научной специальности 5.1.2. Публично-правовые (государственно-правовые) науки, направленность программы – Энергетическое право. Публично-правовые отношения.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Задачами итоговой аттестации являются: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</w:t>
      </w:r>
      <w:r>
        <w:rPr>
          <w:sz w:val="28"/>
          <w:szCs w:val="28"/>
        </w:rPr>
        <w:t xml:space="preserve">а результатов освоения образовательной программы аспирантуры по направлению подготовки 5.1.2. Публично-правовые (государственно-правовые) науки, направленность программы – Энергетическое право. Публично-правовые отношения в соответствии с требованиями ФГТ;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«О науке и государственной научно-технической политике».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ФГТ и Программой аспирантуры по направлению подготовки 5.1.2. Публично-правовые (государственно-правовые) науки, направленность программы – Энергетическое право. Публично-правовые отношения отношения в результате освоения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Знать</w:t>
      </w:r>
      <w:r>
        <w:rPr>
          <w:rFonts w:hint="default"/>
          <w:b/>
          <w:sz w:val="28"/>
          <w:szCs w:val="28"/>
          <w:lang w:val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проектирова</w:t>
      </w:r>
      <w:r>
        <w:rPr>
          <w:sz w:val="28"/>
          <w:szCs w:val="28"/>
          <w:lang w:val="ru-RU"/>
        </w:rPr>
        <w:t xml:space="preserve">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осуществл</w:t>
      </w:r>
      <w:r>
        <w:rPr>
          <w:sz w:val="28"/>
          <w:szCs w:val="28"/>
          <w:lang w:val="ru-RU"/>
        </w:rPr>
        <w:t xml:space="preserve">ения</w:t>
      </w:r>
      <w:r>
        <w:rPr>
          <w:sz w:val="28"/>
          <w:szCs w:val="28"/>
        </w:rPr>
        <w:t xml:space="preserve"> комплексны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 исследовани</w:t>
      </w:r>
      <w:r>
        <w:rPr>
          <w:sz w:val="28"/>
          <w:szCs w:val="28"/>
          <w:lang w:val="ru-RU"/>
        </w:rPr>
        <w:t xml:space="preserve">й</w:t>
      </w:r>
      <w:r>
        <w:rPr>
          <w:sz w:val="28"/>
          <w:szCs w:val="28"/>
        </w:rPr>
        <w:t xml:space="preserve">, в том числе междисциплинарны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, на основе целостного системного научного мировоззрения с использованием знаний в области истории и философии науки;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российских и международных исследовательских коллективов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современные методы и технологии научной коммуникации на государственном и иностранном языках;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этически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в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Уметь</w:t>
      </w:r>
      <w:r>
        <w:rPr>
          <w:rFonts w:hint="default"/>
          <w:b/>
          <w:sz w:val="28"/>
          <w:szCs w:val="28"/>
          <w:lang w:val="ru-RU"/>
        </w:rPr>
      </w:r>
      <w:r>
        <w:rPr>
          <w:rFonts w:hint="default"/>
          <w:b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владение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разра</w:t>
      </w:r>
      <w:r>
        <w:rPr>
          <w:sz w:val="28"/>
          <w:szCs w:val="28"/>
          <w:lang w:val="ru-RU"/>
        </w:rPr>
        <w:t xml:space="preserve">батывать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исследования и их применени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исследовательского коллектива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критическ</w:t>
      </w:r>
      <w:r>
        <w:rPr>
          <w:sz w:val="28"/>
          <w:szCs w:val="28"/>
          <w:lang w:val="ru-RU"/>
        </w:rPr>
        <w:t xml:space="preserve">ий</w:t>
      </w:r>
      <w:r>
        <w:rPr>
          <w:sz w:val="28"/>
          <w:szCs w:val="28"/>
        </w:rPr>
        <w:t xml:space="preserve"> анализ и оценк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 современных научных достижений,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и практических задач, в том числе в междисциплинарных областях</w:t>
      </w:r>
      <w:r>
        <w:rPr>
          <w:rFonts w:hint="default"/>
          <w:sz w:val="28"/>
          <w:szCs w:val="28"/>
          <w:lang w:val="ru-RU"/>
        </w:rPr>
        <w:t xml:space="preserve">;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 планировать и решать задачи собственного профессионального и личностного развития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4"/>
        <w:contextualSpacing w:val="0"/>
        <w:ind w:left="0" w:right="347" w:firstLine="0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Владеть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способность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оценивать</w:t>
      </w:r>
      <w:r>
        <w:rPr>
          <w:sz w:val="28"/>
          <w:szCs w:val="28"/>
        </w:rPr>
        <w:t xml:space="preserve"> современны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научны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достижени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задач в области юриспруденции в соответствии с научной специальностью 5.1.2. Публично-правовые (государственно-правовые)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    Итоговая аттестация проводится в следующих формах: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итоговой аттестации допускаются обучающиеся при наличии: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подготовленной диссертации;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отчета о проверке диссертации в системе «Антиплагиат»;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не менее трех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</w:t>
      </w:r>
      <w:r>
        <w:rPr>
          <w:sz w:val="28"/>
          <w:szCs w:val="28"/>
        </w:rPr>
        <w:t xml:space="preserve">х научных изданиях, включенных в Перечень рецензируемых изданий в соответствии с пунктом 12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рекомендации Центра по результатам предварительной экспертизы диссертации в Центре энергетического права о допуске к итоговой аттестации;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аттестации аспиранта по блоку «Научный компонент»;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отзыва научного руководителя на выполненную диссертацию.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567"/>
        <w:jc w:val="both"/>
        <w:tabs>
          <w:tab w:val="left" w:pos="162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полностью выполненный план индивидуальной работы аспиранта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left="284" w:right="347" w:firstLine="56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документов Центр оформляет приказ о допуске аспиранта к итоговой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0" w:right="347" w:firstLine="707"/>
        <w:jc w:val="center"/>
        <w:tabs>
          <w:tab w:val="left" w:pos="851" w:leader="none"/>
          <w:tab w:val="left" w:pos="993" w:leader="none"/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1"/>
        </w:numPr>
        <w:ind w:left="0" w:right="-1" w:firstLine="707"/>
        <w:jc w:val="center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ТРУДОЕМКОСТЬ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0" w:right="1611" w:firstLine="707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Трудоемкость итоговой аттестации составляет 3 з.е. 108 ч. из них: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Представление научного доклада об основных результатах подготовленной научно-квалификационной работы (диссертации) – 3 з.е. 108 ч.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0" w:right="347" w:firstLine="70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0"/>
          <w:numId w:val="1"/>
        </w:numPr>
        <w:ind w:left="1418" w:right="140" w:hanging="284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ПОДГОТОВКИ И СОДЕРЖАНИЕ НАУЧНОГО ДОКЛАДА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Научный доклад представляется по результатам подготовленной диссертации, отчета о проверке</w:t>
      </w:r>
      <w:r>
        <w:rPr>
          <w:sz w:val="28"/>
          <w:szCs w:val="28"/>
        </w:rPr>
        <w:t xml:space="preserve"> текста в системе Антиплагиат, опубликованных научных статьях в соответствии с п. 12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</w:t>
      </w:r>
      <w:r>
        <w:rPr>
          <w:sz w:val="28"/>
          <w:szCs w:val="28"/>
        </w:rPr>
        <w:t xml:space="preserve">й», отзыва научного руководителя на диссертацию, заключение Центра  в соответствии с п.16 Положения о присуждении ученых степеней, утвержденного Постановлением Правительства Российской Федерации от 24 сентября 2013 г. № 842,  допуска к итоговой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 xml:space="preserve">Текст научного</w:t>
      </w:r>
      <w:r>
        <w:rPr>
          <w:sz w:val="28"/>
          <w:szCs w:val="28"/>
        </w:rPr>
        <w:t xml:space="preserve"> доклада должен быть подготовлен аспирантом самостоятельно, содержать основные результаты подготовленной диссертации, перечень опубликованных работ, результатов апробации. Аспирант должен представить отчет о проверке научного доклада в системе Антиплагиат.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contextualSpacing w:val="0"/>
        <w:ind w:left="284" w:right="347" w:firstLine="625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>
        <w:rPr>
          <w:sz w:val="28"/>
          <w:szCs w:val="28"/>
        </w:rPr>
        <w:t xml:space="preserve">Научный доклад передается в экзаменационную комиссию не позднее чем за 30 дней до проведения итоговой аттестации.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1827" w:right="1611" w:firstLine="0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1"/>
        </w:numPr>
        <w:ind w:left="1418" w:right="1611" w:hanging="284"/>
        <w:jc w:val="center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НАУЧНОГО ДОКЛАДА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5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85"/>
        <w:gridCol w:w="5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6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Аспирант уверенно обосновал теоретическую</w:t>
            </w:r>
            <w:r>
              <w:rPr>
                <w:sz w:val="28"/>
                <w:szCs w:val="28"/>
              </w:rPr>
              <w:t xml:space="preserve"> и практическую значимость результатов диссертационного исследования, продемонстрировал умение аргументированно вести научную дискуссию. Аспирант способен к оценке современных научных достижений, генерированию новых идей при решении исследовательских задач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по публично-правовым отношениям</w:t>
            </w: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9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обоснов</w:t>
            </w:r>
            <w:r>
              <w:rPr>
                <w:sz w:val="28"/>
                <w:szCs w:val="28"/>
              </w:rPr>
              <w:t xml:space="preserve">ал теоретическую и практическую значимость результатов диссертационного исследования, продемонстрировал умение вести научную дискуссию. Аспирант способен к оценке современных научных достижений, генерированию новых идей при решении исследовательских задач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по публично-правовым отношениям</w:t>
            </w:r>
            <w:r>
              <w:rPr>
                <w:sz w:val="28"/>
                <w:szCs w:val="28"/>
              </w:rPr>
              <w:t xml:space="preserve">. Отдельные положения, выносимые на защиту не были достаточно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7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недостаточно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1"/>
        </w:trPr>
        <w:tc>
          <w:tcPr>
            <w:tcW w:w="4085" w:type="dxa"/>
            <w:textDirection w:val="lrTb"/>
            <w:noWrap w:val="false"/>
          </w:tcPr>
          <w:p>
            <w:pPr>
              <w:pStyle w:val="894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4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Аспирант продемонстрировал отсутствие глубоких знаний исследуемой научной проблемы, неумение вести научную дискуссию, неумение обосновать теоретическую и практическую значимость результатов диссертационного исследования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4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1"/>
          <w:numId w:val="1"/>
        </w:numPr>
        <w:ind w:left="0" w:firstLine="709"/>
        <w:jc w:val="both"/>
        <w:keepNext/>
        <w:widowControl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5.1.1 – Учебно-методическое обеспечение дисциплины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4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Hlk23340624"/>
            <w:r/>
            <w:bookmarkEnd w:id="0"/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5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867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867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.1.3 – Перечень информационных справочных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1069" w:firstLine="0"/>
        <w:jc w:val="both"/>
        <w:keepNext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cs="Times New Roman"/>
          <w:b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</w:t>
      </w:r>
      <w:r>
        <w:rPr>
          <w:rFonts w:hint="default" w:cs="Times New Roman"/>
          <w:b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Материально-техническое обеспечение учебного процесса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spacing w:before="9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cs="Times New Roman"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</w:rPr>
        <w:t xml:space="preserve">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67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67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pStyle w:val="894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/>
      <w:bookmarkStart w:id="5" w:name="_GoBack"/>
      <w:r/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ОСОБЕННОСТИ ПРОХОЖДЕНИЯ ИТОГОВОЙ АТТЕСТАЦИИ ДЛЯ </w:t>
      </w:r>
      <w:r>
        <w:rPr>
          <w:b/>
          <w:sz w:val="28"/>
          <w:szCs w:val="28"/>
        </w:rPr>
        <w:t xml:space="preserve">ИНВАЛИДОВ И ЛИЦ С ОГРАНИЧЕННЫМИ ВОЗМОЖНОСТЯМИ ЗДОРОВЬЯ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4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b/>
          <w:color w:val="ff0000"/>
          <w:sz w:val="28"/>
          <w:szCs w:val="28"/>
        </w:rPr>
        <w:br w:type="page" w:clear="all"/>
      </w:r>
      <w:r>
        <w:rPr>
          <w:sz w:val="24"/>
        </w:rPr>
      </w:r>
      <w:r>
        <w:rPr>
          <w:sz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3"/>
      <w:jc w:val="right"/>
    </w:pPr>
    <w:r/>
    <w:r/>
  </w:p>
  <w:p>
    <w:pPr>
      <w:pStyle w:val="875"/>
      <w:ind w:left="0" w:firstLine="0"/>
      <w:spacing w:line="12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3"/>
      <w:jc w:val="right"/>
    </w:pPr>
    <w:r/>
    <w:r/>
  </w:p>
  <w:p>
    <w:pPr>
      <w:pStyle w:val="8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64"/>
    <w:link w:val="859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64"/>
    <w:link w:val="860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64"/>
    <w:link w:val="861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64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64"/>
    <w:link w:val="863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58"/>
    <w:next w:val="858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64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58"/>
    <w:next w:val="858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64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58"/>
    <w:next w:val="858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64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58"/>
    <w:next w:val="85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6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64"/>
    <w:link w:val="882"/>
    <w:uiPriority w:val="10"/>
    <w:rPr>
      <w:sz w:val="48"/>
      <w:szCs w:val="48"/>
    </w:rPr>
  </w:style>
  <w:style w:type="character" w:styleId="717">
    <w:name w:val="Subtitle Char"/>
    <w:basedOn w:val="864"/>
    <w:link w:val="884"/>
    <w:uiPriority w:val="11"/>
    <w:rPr>
      <w:sz w:val="24"/>
      <w:szCs w:val="24"/>
    </w:rPr>
  </w:style>
  <w:style w:type="paragraph" w:styleId="718">
    <w:name w:val="Quote"/>
    <w:basedOn w:val="858"/>
    <w:next w:val="85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58"/>
    <w:next w:val="85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64"/>
    <w:link w:val="872"/>
    <w:uiPriority w:val="99"/>
  </w:style>
  <w:style w:type="character" w:styleId="723">
    <w:name w:val="Footer Char"/>
    <w:basedOn w:val="864"/>
    <w:link w:val="883"/>
    <w:uiPriority w:val="99"/>
  </w:style>
  <w:style w:type="paragraph" w:styleId="724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83"/>
    <w:uiPriority w:val="99"/>
  </w:style>
  <w:style w:type="table" w:styleId="726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5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6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7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8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9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0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5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4"/>
    <w:uiPriority w:val="99"/>
    <w:unhideWhenUsed/>
    <w:rPr>
      <w:vertAlign w:val="superscript"/>
    </w:rPr>
  </w:style>
  <w:style w:type="paragraph" w:styleId="854">
    <w:name w:val="endnote text"/>
    <w:basedOn w:val="85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4"/>
    <w:uiPriority w:val="99"/>
    <w:semiHidden/>
    <w:unhideWhenUsed/>
    <w:rPr>
      <w:vertAlign w:val="superscript"/>
    </w:rPr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/>
      <w:color w:val="000000"/>
      <w:spacing w:val="0"/>
      <w:sz w:val="22"/>
    </w:rPr>
  </w:style>
  <w:style w:type="paragraph" w:styleId="859">
    <w:name w:val="Heading 1"/>
    <w:basedOn w:val="858"/>
    <w:uiPriority w:val="9"/>
    <w:qFormat/>
    <w:pPr>
      <w:ind w:left="846" w:firstLine="0"/>
      <w:spacing w:before="72"/>
      <w:outlineLvl w:val="0"/>
    </w:pPr>
    <w:rPr>
      <w:b/>
      <w:sz w:val="28"/>
    </w:rPr>
  </w:style>
  <w:style w:type="paragraph" w:styleId="860">
    <w:name w:val="Heading 2"/>
    <w:next w:val="858"/>
    <w:uiPriority w:val="9"/>
    <w:qFormat/>
    <w:pPr>
      <w:ind w:left="0" w:right="0" w:firstLine="0"/>
      <w:jc w:val="both"/>
      <w:spacing w:before="120" w:after="120" w:line="264" w:lineRule="auto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861">
    <w:name w:val="Heading 3"/>
    <w:basedOn w:val="858"/>
    <w:next w:val="858"/>
    <w:uiPriority w:val="9"/>
    <w:qFormat/>
    <w:pPr>
      <w:keepLines/>
      <w:keepNext/>
      <w:spacing w:before="40"/>
      <w:outlineLvl w:val="2"/>
    </w:pPr>
    <w:rPr>
      <w:rFonts w:asciiTheme="majorAscii" w:hAnsiTheme="majorHAnsi"/>
      <w:color w:val="1f4e79" w:themeColor="accent1" w:themeShade="80"/>
      <w:sz w:val="24"/>
    </w:rPr>
  </w:style>
  <w:style w:type="paragraph" w:styleId="862">
    <w:name w:val="Heading 4"/>
    <w:next w:val="858"/>
    <w:uiPriority w:val="9"/>
    <w:qFormat/>
    <w:pPr>
      <w:ind w:left="0" w:right="0" w:firstLine="0"/>
      <w:jc w:val="both"/>
      <w:spacing w:before="120" w:after="120" w:line="264" w:lineRule="auto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863">
    <w:name w:val="Heading 5"/>
    <w:next w:val="858"/>
    <w:uiPriority w:val="9"/>
    <w:qFormat/>
    <w:pPr>
      <w:ind w:left="0" w:right="0" w:firstLine="0"/>
      <w:jc w:val="both"/>
      <w:spacing w:before="120" w:after="120" w:line="264" w:lineRule="auto"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864" w:default="1">
    <w:name w:val="Default Paragraph Font"/>
    <w:uiPriority w:val="0"/>
  </w:style>
  <w:style w:type="table" w:styleId="865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66">
    <w:name w:val="annotation reference"/>
    <w:uiPriority w:val="0"/>
    <w:qFormat/>
    <w:rPr>
      <w:sz w:val="16"/>
    </w:rPr>
  </w:style>
  <w:style w:type="character" w:styleId="867">
    <w:name w:val="Hyperlink"/>
    <w:uiPriority w:val="0"/>
    <w:qFormat/>
    <w:rPr>
      <w:color w:val="0000ff"/>
      <w:u w:val="single"/>
    </w:rPr>
  </w:style>
  <w:style w:type="paragraph" w:styleId="868">
    <w:name w:val="Balloon Text"/>
    <w:basedOn w:val="858"/>
    <w:uiPriority w:val="0"/>
    <w:qFormat/>
    <w:rPr>
      <w:rFonts w:ascii="Tahoma" w:hAnsi="Tahoma"/>
      <w:sz w:val="16"/>
    </w:rPr>
  </w:style>
  <w:style w:type="paragraph" w:styleId="869">
    <w:name w:val="annotation text"/>
    <w:basedOn w:val="858"/>
    <w:uiPriority w:val="0"/>
    <w:rPr>
      <w:sz w:val="20"/>
    </w:rPr>
  </w:style>
  <w:style w:type="paragraph" w:styleId="870">
    <w:name w:val="annotation subject"/>
    <w:basedOn w:val="869"/>
    <w:next w:val="869"/>
    <w:uiPriority w:val="0"/>
    <w:qFormat/>
    <w:rPr>
      <w:b/>
    </w:rPr>
  </w:style>
  <w:style w:type="paragraph" w:styleId="871">
    <w:name w:val="toc 8"/>
    <w:next w:val="858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2">
    <w:name w:val="Header"/>
    <w:basedOn w:val="858"/>
    <w:uiPriority w:val="0"/>
    <w:pPr>
      <w:tabs>
        <w:tab w:val="center" w:pos="4677" w:leader="none"/>
        <w:tab w:val="right" w:pos="9355" w:leader="none"/>
      </w:tabs>
    </w:pPr>
  </w:style>
  <w:style w:type="paragraph" w:styleId="873">
    <w:name w:val="toc 9"/>
    <w:next w:val="858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4">
    <w:name w:val="toc 7"/>
    <w:next w:val="858"/>
    <w:uiPriority w:val="39"/>
    <w:pPr>
      <w:ind w:left="1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5">
    <w:name w:val="Body Text"/>
    <w:basedOn w:val="858"/>
    <w:uiPriority w:val="0"/>
    <w:pPr>
      <w:ind w:left="202" w:firstLine="707"/>
    </w:pPr>
    <w:rPr>
      <w:sz w:val="24"/>
    </w:rPr>
  </w:style>
  <w:style w:type="paragraph" w:styleId="876">
    <w:name w:val="toc 1"/>
    <w:basedOn w:val="858"/>
    <w:uiPriority w:val="39"/>
    <w:pPr>
      <w:ind w:left="636" w:hanging="361"/>
      <w:spacing w:before="48"/>
    </w:pPr>
    <w:rPr>
      <w:sz w:val="28"/>
    </w:rPr>
  </w:style>
  <w:style w:type="paragraph" w:styleId="877">
    <w:name w:val="toc 6"/>
    <w:next w:val="858"/>
    <w:uiPriority w:val="39"/>
    <w:pPr>
      <w:ind w:left="10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8">
    <w:name w:val="toc 3"/>
    <w:next w:val="858"/>
    <w:uiPriority w:val="39"/>
    <w:pPr>
      <w:ind w:left="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9">
    <w:name w:val="toc 2"/>
    <w:next w:val="858"/>
    <w:uiPriority w:val="39"/>
    <w:pPr>
      <w:ind w:left="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0">
    <w:name w:val="toc 4"/>
    <w:next w:val="858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1">
    <w:name w:val="toc 5"/>
    <w:next w:val="858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2">
    <w:name w:val="Title"/>
    <w:next w:val="858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/>
      <w:b/>
      <w:caps/>
      <w:color w:val="000000"/>
      <w:spacing w:val="0"/>
      <w:sz w:val="40"/>
    </w:rPr>
  </w:style>
  <w:style w:type="paragraph" w:styleId="883">
    <w:name w:val="Footer"/>
    <w:basedOn w:val="858"/>
    <w:uiPriority w:val="0"/>
    <w:pPr>
      <w:tabs>
        <w:tab w:val="center" w:pos="4677" w:leader="none"/>
        <w:tab w:val="right" w:pos="9355" w:leader="none"/>
      </w:tabs>
    </w:pPr>
  </w:style>
  <w:style w:type="paragraph" w:styleId="884">
    <w:name w:val="Subtitle"/>
    <w:basedOn w:val="858"/>
    <w:next w:val="858"/>
    <w:uiPriority w:val="11"/>
    <w:qFormat/>
    <w:pPr>
      <w:spacing w:after="200" w:line="276" w:lineRule="auto"/>
      <w:widowControl/>
    </w:pPr>
    <w:rPr>
      <w:rFonts w:ascii="Calibri" w:hAnsi="Calibri"/>
      <w:i/>
      <w:color w:val="94b6d2"/>
      <w:spacing w:val="15"/>
      <w:sz w:val="24"/>
    </w:rPr>
  </w:style>
  <w:style w:type="table" w:styleId="885">
    <w:name w:val="Table Grid"/>
    <w:basedOn w:val="865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 w:customStyle="1">
    <w:name w:val="Endnote"/>
    <w:link w:val="887"/>
    <w:uiPriority w:val="0"/>
    <w:qFormat/>
    <w:pPr>
      <w:ind w:left="0" w:right="0" w:firstLine="851"/>
      <w:jc w:val="both"/>
      <w:spacing w:before="0" w:after="160" w:line="264" w:lineRule="auto"/>
    </w:pPr>
    <w:rPr>
      <w:rFonts w:ascii="XO Thames" w:hAnsi="XO Thames"/>
      <w:color w:val="000000"/>
      <w:spacing w:val="0"/>
      <w:sz w:val="22"/>
    </w:rPr>
  </w:style>
  <w:style w:type="character" w:styleId="887" w:customStyle="1">
    <w:name w:val="Endnote1"/>
    <w:link w:val="886"/>
    <w:uiPriority w:val="0"/>
    <w:rPr>
      <w:rFonts w:ascii="XO Thames" w:hAnsi="XO Thames"/>
      <w:sz w:val="22"/>
    </w:rPr>
  </w:style>
  <w:style w:type="paragraph" w:styleId="888" w:customStyle="1">
    <w:name w:val="TOC Heading"/>
    <w:basedOn w:val="859"/>
    <w:next w:val="858"/>
    <w:link w:val="889"/>
    <w:uiPriority w:val="0"/>
    <w:qFormat/>
    <w:pPr>
      <w:ind w:left="0" w:firstLine="0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2e75b6" w:themeColor="accent1" w:themeShade="BF"/>
      <w:sz w:val="32"/>
    </w:rPr>
  </w:style>
  <w:style w:type="character" w:styleId="889" w:customStyle="1">
    <w:name w:val="TOC Heading1"/>
    <w:link w:val="888"/>
    <w:uiPriority w:val="0"/>
    <w:qFormat/>
    <w:rPr>
      <w:rFonts w:asciiTheme="majorAscii" w:hAnsiTheme="majorHAnsi"/>
      <w:color w:val="2e75b6" w:themeColor="accent1" w:themeShade="BF"/>
      <w:sz w:val="32"/>
    </w:rPr>
  </w:style>
  <w:style w:type="paragraph" w:styleId="890" w:customStyle="1">
    <w:name w:val="s_1"/>
    <w:basedOn w:val="858"/>
    <w:link w:val="891"/>
    <w:uiPriority w:val="0"/>
    <w:qFormat/>
    <w:pPr>
      <w:spacing w:beforeAutospacing="1" w:afterAutospacing="1"/>
      <w:widowControl/>
    </w:pPr>
    <w:rPr>
      <w:sz w:val="24"/>
    </w:rPr>
  </w:style>
  <w:style w:type="character" w:styleId="891" w:customStyle="1">
    <w:name w:val="s_11"/>
    <w:link w:val="890"/>
    <w:uiPriority w:val="0"/>
    <w:qFormat/>
    <w:rPr>
      <w:sz w:val="24"/>
    </w:rPr>
  </w:style>
  <w:style w:type="paragraph" w:styleId="892" w:customStyle="1">
    <w:name w:val="Неразрешенное упоминание1"/>
    <w:link w:val="893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605e5c"/>
      <w:spacing w:val="0"/>
      <w:sz w:val="22"/>
      <w:shd w:val="clear" w:color="auto" w:fill="e1dfdd"/>
    </w:rPr>
  </w:style>
  <w:style w:type="character" w:styleId="893" w:customStyle="1">
    <w:name w:val="Неразрешенное упоминание11"/>
    <w:basedOn w:val="864"/>
    <w:link w:val="892"/>
    <w:uiPriority w:val="0"/>
    <w:qFormat/>
    <w:rPr>
      <w:color w:val="605e5c"/>
      <w:shd w:val="clear" w:color="auto" w:fill="e1dfdd"/>
    </w:rPr>
  </w:style>
  <w:style w:type="paragraph" w:styleId="894">
    <w:name w:val="List Paragraph"/>
    <w:basedOn w:val="858"/>
    <w:uiPriority w:val="0"/>
    <w:qFormat/>
    <w:pPr>
      <w:contextualSpacing/>
      <w:ind w:left="720" w:firstLine="0"/>
    </w:pPr>
  </w:style>
  <w:style w:type="paragraph" w:styleId="895" w:customStyle="1">
    <w:name w:val="nobr"/>
    <w:link w:val="896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896" w:customStyle="1">
    <w:name w:val="nobr1"/>
    <w:basedOn w:val="864"/>
    <w:link w:val="895"/>
    <w:uiPriority w:val="0"/>
  </w:style>
  <w:style w:type="paragraph" w:styleId="897" w:customStyle="1">
    <w:name w:val="Footnote"/>
    <w:basedOn w:val="858"/>
    <w:link w:val="898"/>
    <w:uiPriority w:val="0"/>
    <w:qFormat/>
    <w:pPr>
      <w:ind w:left="0" w:firstLine="720"/>
      <w:jc w:val="both"/>
      <w:spacing w:line="360" w:lineRule="auto"/>
      <w:widowControl/>
    </w:pPr>
    <w:rPr>
      <w:sz w:val="20"/>
    </w:rPr>
  </w:style>
  <w:style w:type="character" w:styleId="898" w:customStyle="1">
    <w:name w:val="Footnote1"/>
    <w:link w:val="897"/>
    <w:uiPriority w:val="0"/>
    <w:rPr>
      <w:sz w:val="20"/>
    </w:rPr>
  </w:style>
  <w:style w:type="paragraph" w:styleId="899" w:customStyle="1">
    <w:name w:val="blk"/>
    <w:link w:val="900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900" w:customStyle="1">
    <w:name w:val="blk1"/>
    <w:basedOn w:val="864"/>
    <w:link w:val="899"/>
    <w:uiPriority w:val="0"/>
  </w:style>
  <w:style w:type="paragraph" w:styleId="901" w:customStyle="1">
    <w:name w:val="Header and Footer"/>
    <w:link w:val="902"/>
    <w:uiPriority w:val="0"/>
    <w:qFormat/>
    <w:pPr>
      <w:ind w:left="0" w:right="0" w:firstLine="0"/>
      <w:jc w:val="both"/>
      <w:spacing w:before="0" w:after="160" w:line="240" w:lineRule="auto"/>
    </w:pPr>
    <w:rPr>
      <w:rFonts w:ascii="XO Thames" w:hAnsi="XO Thames"/>
      <w:color w:val="000000"/>
      <w:spacing w:val="0"/>
      <w:sz w:val="20"/>
    </w:rPr>
  </w:style>
  <w:style w:type="character" w:styleId="902" w:customStyle="1">
    <w:name w:val="Header and Footer1"/>
    <w:link w:val="901"/>
    <w:uiPriority w:val="0"/>
    <w:rPr>
      <w:rFonts w:ascii="XO Thames" w:hAnsi="XO Thames"/>
      <w:sz w:val="20"/>
    </w:rPr>
  </w:style>
  <w:style w:type="table" w:styleId="903" w:customStyle="1">
    <w:name w:val="Table Normal8"/>
    <w:uiPriority w:val="0"/>
    <w:qFormat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Table Normal9"/>
    <w:uiPriority w:val="0"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Table Normal1"/>
    <w:uiPriority w:val="0"/>
    <w:qFormat/>
    <w:pPr>
      <w:spacing w:after="0" w:line="240" w:lineRule="auto"/>
      <w:widowControl w:val="off"/>
    </w:pPr>
    <w:rPr>
      <w:rFonts w:ascii="Calibri" w:hAnsi="Calibri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6" w:customStyle="1">
    <w:name w:val="Гиперссылка11"/>
    <w:link w:val="907"/>
    <w:uiPriority w:val="0"/>
    <w:rPr>
      <w:rFonts w:hint="default" w:ascii="Calibri" w:hAnsi="Calibri" w:eastAsia="Times New Roman" w:cs="Times New Roman"/>
      <w:color w:val="0000ff"/>
      <w:u w:val="single"/>
    </w:rPr>
  </w:style>
  <w:style w:type="paragraph" w:styleId="907" w:customStyle="1">
    <w:name w:val="Гиперссылка1"/>
    <w:link w:val="906"/>
    <w:uiPriority w:val="0"/>
    <w:rPr>
      <w:rFonts w:hint="default" w:ascii="Calibri" w:hAnsi="Calibri" w:eastAsia="Times New Roman" w:cs="Times New Roman"/>
      <w:color w:val="0000ff"/>
      <w:u w:val="single"/>
    </w:rPr>
  </w:style>
  <w:style w:type="numbering" w:styleId="9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3</cp:revision>
  <dcterms:created xsi:type="dcterms:W3CDTF">2025-07-29T02:33:24Z</dcterms:created>
  <dcterms:modified xsi:type="dcterms:W3CDTF">2025-08-12T13:44:03Z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17C88BBCEF3445EE98316ADA573348ED_12</vt:lpwstr>
  </property>
</Properties>
</file>