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>
        <w:tblPrEx/>
        <w:trPr>
          <w:trHeight w:val="660"/>
        </w:trPr>
        <w:tc>
          <w:tcPr>
            <w:gridSpan w:val="2"/>
            <w:tcW w:w="9072" w:type="dxa"/>
            <w:textDirection w:val="lrTb"/>
            <w:noWrap w:val="false"/>
          </w:tcPr>
          <w:p>
            <w:pPr>
              <w:ind w:right="567"/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30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rFonts w:ascii="Times New Roman" w:hAnsi="Times New Roman" w:eastAsia="Times New Roman" w:cs="Times New Roman"/>
                <w:b/>
                <w:spacing w:val="30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30"/>
                <w:sz w:val="28"/>
                <w14:ligatures w14:val="none"/>
              </w:rPr>
            </w:r>
          </w:p>
        </w:tc>
        <w:tc>
          <w:tcPr>
            <w:tcW w:w="809" w:type="dxa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ind w:right="567"/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caps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caps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caps/>
                <w:sz w:val="28"/>
                <w14:ligatures w14:val="none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12"/>
                <w:sz w:val="28"/>
                <w14:ligatures w14:val="none"/>
              </w:rPr>
            </w:r>
          </w:p>
        </w:tc>
      </w:tr>
    </w:tbl>
    <w:p>
      <w:pPr>
        <w:ind w:right="567"/>
        <w:jc w:val="right"/>
        <w:spacing w:after="0" w:line="240" w:lineRule="auto"/>
        <w:widowControl w:val="off"/>
        <w:tabs>
          <w:tab w:val="left" w:pos="4075" w:leader="none"/>
        </w:tabs>
        <w:rPr>
          <w:rFonts w:ascii="Times New Roman" w:hAnsi="Times New Roman" w:eastAsia="Times New Roman" w:cs="Times New Roman"/>
          <w:b/>
          <w:caps/>
          <w:sz w:val="28"/>
          <w14:ligatures w14:val="none"/>
        </w:rPr>
      </w:pPr>
      <w:r/>
      <w:bookmarkStart w:id="1" w:name="_Hlk24113178"/>
      <w:r>
        <w:rPr>
          <w:rFonts w:ascii="Times New Roman" w:hAnsi="Times New Roman" w:eastAsia="Times New Roman" w:cs="Times New Roman"/>
          <w:b/>
          <w:caps/>
          <w:sz w:val="28"/>
          <w14:ligatures w14:val="none"/>
        </w:rPr>
      </w:r>
      <w:r>
        <w:rPr>
          <w:rFonts w:ascii="Times New Roman" w:hAnsi="Times New Roman" w:eastAsia="Times New Roman" w:cs="Times New Roman"/>
          <w:b/>
          <w:caps/>
          <w:sz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Программа кандидатского экзамена по дисциплине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 «История и философия науки»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sz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14:ligatures w14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>
          <w:trHeight w:val="853"/>
        </w:trPr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right="567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Направление подготовки/научная специальность </w:t>
            </w: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right="567"/>
              <w:spacing w:after="0" w:line="252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5.1.2. Публично-правовые (государственно-правовые) науки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5.1.3. 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Частно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-правовые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цивилистические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) науки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5.1.5. Международно-правовые науки</w:t>
            </w:r>
            <w:r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ind w:right="567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Направленность (профиль) программы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right="567" w:firstLine="33"/>
              <w:spacing w:after="0" w:line="252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 w:firstLine="33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Энергетическое право. Публично-правовые отношения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 w:firstLine="33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Энергетическое право. 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Частно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-правовые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 отношения.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 w:firstLine="33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Энергетическое право. Международно-правовые отношения.</w:t>
            </w:r>
            <w:r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Уровень высшего образования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Форма обучения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</w:tc>
      </w:tr>
    </w:tbl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2024 г.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© Горелова Т.А., письменные задания и 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письменные вопросы, 2024 год.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© АНО «Научно-исследовательский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 «Центр развития энергетического права и 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современной правовой науки 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имени В.А. Мусина», методическое оформление, 2024.</w:t>
      </w:r>
      <w:bookmarkEnd w:id="1"/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2"/>
        </w:numPr>
        <w:jc w:val="center"/>
        <w:spacing w:before="74" w:after="0" w:line="240" w:lineRule="auto"/>
        <w:widowControl w:val="off"/>
        <w:tabs>
          <w:tab w:val="left" w:pos="1290" w:leader="none"/>
        </w:tabs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ОБЩИЕ</w:t>
      </w:r>
      <w:r>
        <w:rPr>
          <w:rFonts w:ascii="Times New Roman" w:hAnsi="Times New Roman" w:eastAsia="Times New Roman" w:cs="Times New Roman"/>
          <w:b/>
          <w:spacing w:val="-7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ПОЛОЖЕНИЯ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1"/>
          <w:numId w:val="1"/>
        </w:numPr>
        <w:ind w:left="142" w:right="672" w:firstLine="744"/>
        <w:jc w:val="both"/>
        <w:spacing w:after="0" w:line="237" w:lineRule="auto"/>
        <w:widowControl w:val="off"/>
        <w:tabs>
          <w:tab w:val="left" w:pos="2233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Программа кандидатского экзамена по дисциплине «История и философия</w:t>
      </w:r>
      <w:r>
        <w:rPr>
          <w:rFonts w:ascii="Times New Roman" w:hAnsi="Times New Roman" w:eastAsia="Times New Roman" w:cs="Times New Roman"/>
          <w:spacing w:val="-37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14:ligatures w14:val="none"/>
        </w:rPr>
        <w:t xml:space="preserve">науки»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(далее – Программа 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14:ligatures w14:val="none"/>
        </w:rPr>
        <w:t xml:space="preserve">кандидатского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экзамена) разработана в соответствии</w:t>
      </w:r>
      <w:r>
        <w:rPr>
          <w:rFonts w:ascii="Times New Roman" w:hAnsi="Times New Roman" w:eastAsia="Times New Roman" w:cs="Times New Roman"/>
          <w:spacing w:val="8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95"/>
        <w:numPr>
          <w:ilvl w:val="0"/>
          <w:numId w:val="13"/>
        </w:numPr>
        <w:ind w:left="142" w:right="672" w:firstLine="744"/>
        <w:jc w:val="both"/>
        <w:spacing w:after="0" w:line="237" w:lineRule="auto"/>
        <w:widowControl w:val="off"/>
        <w:tabs>
          <w:tab w:val="left" w:pos="2233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Федеральным законом от 29 декабря 2012 г. № 273-ФЗ «Об образовании в Российской Федерации»;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95"/>
        <w:numPr>
          <w:ilvl w:val="0"/>
          <w:numId w:val="13"/>
        </w:numPr>
        <w:ind w:left="142" w:right="672" w:firstLine="744"/>
        <w:jc w:val="both"/>
        <w:spacing w:after="0" w:line="237" w:lineRule="auto"/>
        <w:widowControl w:val="off"/>
        <w:tabs>
          <w:tab w:val="left" w:pos="2233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24 сентябр</w:t>
      </w:r>
      <w:r>
        <w:rPr>
          <w:rFonts w:ascii="Times New Roman" w:hAnsi="Times New Roman"/>
          <w:sz w:val="28"/>
          <w:szCs w:val="28"/>
        </w:rPr>
        <w:t xml:space="preserve">я 2013 г.№ 842 «О порядке присуждения ученых степеней»;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95"/>
        <w:numPr>
          <w:ilvl w:val="0"/>
          <w:numId w:val="13"/>
        </w:numPr>
        <w:ind w:left="142" w:right="672" w:firstLine="744"/>
        <w:jc w:val="both"/>
        <w:spacing w:after="0" w:line="237" w:lineRule="auto"/>
        <w:widowControl w:val="off"/>
        <w:tabs>
          <w:tab w:val="left" w:pos="2233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 ноября 2021 г. </w:t>
      </w:r>
      <w:r>
        <w:rPr>
          <w:rFonts w:ascii="Times New Roman" w:hAnsi="Times New Roman"/>
          <w:sz w:val="28"/>
        </w:rPr>
        <w:t xml:space="preserve">№ 2122 «Об утверждении Положения о подготовке научных и научно-педагогических кад</w:t>
      </w:r>
      <w:r>
        <w:rPr>
          <w:rFonts w:ascii="Times New Roman" w:hAnsi="Times New Roman"/>
          <w:sz w:val="28"/>
        </w:rPr>
        <w:t xml:space="preserve">ров в аспирантуре (адъюнктуре)»;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95"/>
        <w:numPr>
          <w:ilvl w:val="0"/>
          <w:numId w:val="13"/>
        </w:numPr>
        <w:ind w:left="142" w:right="672" w:firstLine="744"/>
        <w:jc w:val="both"/>
        <w:spacing w:after="0" w:line="237" w:lineRule="auto"/>
        <w:widowControl w:val="off"/>
        <w:tabs>
          <w:tab w:val="left" w:pos="2233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Приказом Минобрнауки России от 20 октября 2021 г. № 951 «Об утверждении федеральных государствен</w:t>
      </w:r>
      <w:r>
        <w:rPr>
          <w:rFonts w:ascii="Times New Roman" w:hAnsi="Times New Roman"/>
          <w:sz w:val="28"/>
        </w:rPr>
        <w:t xml:space="preserve">ных требований к структуре программ подготовки научных и научно-педагогических кадров в аспирантуре (адъюнктуре), </w:t>
      </w:r>
      <w:r>
        <w:rPr>
          <w:rFonts w:ascii="Times New Roman" w:hAnsi="Times New Roman"/>
          <w:sz w:val="28"/>
          <w:szCs w:val="28"/>
        </w:rPr>
        <w:t xml:space="preserve">условиям их реализации, срокам освоения этих программ с учетом различных форм обучения, образов</w:t>
      </w:r>
      <w:r>
        <w:rPr>
          <w:rFonts w:ascii="Times New Roman" w:hAnsi="Times New Roman"/>
          <w:sz w:val="28"/>
          <w:szCs w:val="28"/>
        </w:rPr>
        <w:t xml:space="preserve">ательных технологий и особенностей отдельных ка</w:t>
      </w:r>
      <w:r>
        <w:rPr>
          <w:rFonts w:ascii="Times New Roman" w:hAnsi="Times New Roman"/>
          <w:sz w:val="28"/>
          <w:szCs w:val="28"/>
        </w:rPr>
        <w:t xml:space="preserve">тегорий аспирантов (адъ</w:t>
      </w:r>
      <w:r>
        <w:rPr>
          <w:rFonts w:ascii="Times New Roman" w:hAnsi="Times New Roman"/>
          <w:sz w:val="28"/>
          <w:szCs w:val="28"/>
        </w:rPr>
        <w:t xml:space="preserve">юнктов)»;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95"/>
        <w:numPr>
          <w:ilvl w:val="0"/>
          <w:numId w:val="13"/>
        </w:numPr>
        <w:ind w:left="142" w:right="672" w:firstLine="744"/>
        <w:jc w:val="both"/>
        <w:spacing w:after="0" w:line="237" w:lineRule="auto"/>
        <w:widowControl w:val="off"/>
        <w:tabs>
          <w:tab w:val="left" w:pos="2233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bookmarkStart w:id="2" w:name="приказом_Минобрнауки_России_от_28_марта_"/>
      <w:r>
        <w:rPr>
          <w:rFonts w:ascii="Times New Roman" w:hAnsi="Times New Roman"/>
          <w:sz w:val="28"/>
          <w:szCs w:val="28"/>
        </w:rPr>
      </w:r>
      <w:bookmarkEnd w:id="2"/>
      <w:r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Минобрнауки</w:t>
      </w:r>
      <w:r>
        <w:rPr>
          <w:rFonts w:ascii="Times New Roman" w:hAnsi="Times New Roman"/>
          <w:sz w:val="28"/>
          <w:szCs w:val="28"/>
        </w:rPr>
        <w:t xml:space="preserve"> России от 06.08.2021 N 721</w:t>
      </w:r>
      <w:r>
        <w:rPr>
          <w:rFonts w:ascii="Times New Roman" w:hAnsi="Times New Roman"/>
          <w:sz w:val="28"/>
          <w:szCs w:val="28"/>
        </w:rPr>
        <w:t xml:space="preserve">  «Об   утверждении Порядка приема на обучение по </w:t>
      </w:r>
      <w:r>
        <w:rPr>
          <w:rFonts w:ascii="Times New Roman" w:hAnsi="Times New Roman"/>
          <w:sz w:val="28"/>
          <w:szCs w:val="28"/>
        </w:rPr>
        <w:t xml:space="preserve">образовательным</w:t>
      </w:r>
      <w:r>
        <w:rPr>
          <w:rFonts w:ascii="Times New Roman" w:hAnsi="Times New Roman"/>
          <w:sz w:val="28"/>
          <w:szCs w:val="28"/>
        </w:rPr>
        <w:t xml:space="preserve"> программам высшего образования – программам подготовки </w:t>
      </w:r>
      <w:r>
        <w:rPr>
          <w:rFonts w:ascii="Times New Roman" w:hAnsi="Times New Roman"/>
          <w:sz w:val="28"/>
          <w:szCs w:val="28"/>
        </w:rPr>
        <w:t xml:space="preserve">научных</w:t>
      </w:r>
      <w:r>
        <w:rPr>
          <w:rFonts w:ascii="Times New Roman" w:hAnsi="Times New Roman"/>
          <w:sz w:val="28"/>
          <w:szCs w:val="28"/>
        </w:rPr>
        <w:t xml:space="preserve"> и научно-педагогических кадров в аспирантуре» (Зарегистрировано в </w:t>
      </w:r>
      <w:r>
        <w:rPr>
          <w:rFonts w:ascii="Times New Roman" w:hAnsi="Times New Roman"/>
          <w:sz w:val="28"/>
          <w:szCs w:val="28"/>
        </w:rPr>
        <w:t xml:space="preserve">Минюсте России 03.09.2021№ 64879)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95"/>
        <w:numPr>
          <w:ilvl w:val="0"/>
          <w:numId w:val="13"/>
        </w:numPr>
        <w:ind w:left="142" w:right="672" w:firstLine="744"/>
        <w:jc w:val="both"/>
        <w:spacing w:after="0" w:line="237" w:lineRule="auto"/>
        <w:widowControl w:val="off"/>
        <w:tabs>
          <w:tab w:val="left" w:pos="2233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науки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высшего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 февраля 2021 г. № 118 «Об утверждении номенклатуры научных специальностей, по которым присуждаются ученые степени»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897"/>
        <w:numPr>
          <w:ilvl w:val="0"/>
          <w:numId w:val="15"/>
        </w:numPr>
        <w:ind w:left="142" w:right="672" w:firstLine="744"/>
        <w:jc w:val="both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Уставом и соответствующими локальными нормативными актами Автономной некоммерческой организации «Научно -исследовательский «Центр развития энергетического права и современной правовой науки имени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В.А.Мусина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» (далее - Центр).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right="672" w:firstLine="744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1.2.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Программа кандидатского экзамена регламентирует содержание, порядок сдачи кандидатского экзамена,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состав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экзаменационной комиссии, порядок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оценки уровня знаний соискателя ученой степени кандидата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наук, и включает перечень заданий и вопросов, выносимых на кандидатский экзамен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142" w:right="672" w:firstLine="744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1.3.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На кандидатском эк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замене по дисциплине «История и философия науки» аспирант должен продемонстрировать глубокие и систематизированные знания по основным проблемам истории и философии науки, знание истории развития и современного состояния научной методологии, ее применения в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социальных и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гуманитарных науках и, главное, в его собственном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14:ligatures w14:val="none"/>
        </w:rPr>
        <w:t xml:space="preserve">диссертационном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исследовании.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142" w:right="672" w:firstLine="744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1.4.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Сдача данного кандидатского экзаменов обязательна для присуждения ученой степени кандидата наук.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line="275" w:lineRule="exact"/>
        <w:widowControl w:val="off"/>
        <w:tabs>
          <w:tab w:val="left" w:pos="20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2.ПОРЯДОК СДАЧИ КАНДИДАТСКОГО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left="0" w:right="0" w:firstLine="850"/>
        <w:jc w:val="center"/>
        <w:spacing w:after="0" w:line="275" w:lineRule="exact"/>
        <w:widowControl w:val="off"/>
        <w:tabs>
          <w:tab w:val="left" w:pos="20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left="283" w:right="0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  2.1. Допуском к экзамену является зачет за выполненный реферат по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темам, размещенным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 Личном кабинете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обучающегося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283" w:right="0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Проверку и оценку реферата осуществляет научный руководитель аспиранта.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283" w:right="0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Реферат с оценкой научного руководителя должен быть направлен научному руководителю Центра в установленные в расписании сроки.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283" w:right="0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2.2. Кандидатский экзамен по дисциплине «История и философия науки» по научным специальностям: 5.1.2. Публично-правовые (государственно-правовые) науки; 5.1.3.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Частно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-правовые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цивилистические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) науки; 5.1.5. Международно-правовые науки проводится письменно. Аспирант может выбрать один из двух вариантов письменного экзамена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283" w:right="0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2.3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ля приема кандидатск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экзамен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созда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тся комисси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(далее - экзаменационные комиссии), состав котор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утверждается Директором 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left="283" w:righ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Состав экзаменационной комиссии формируется из числа научно-педагогических работников (в том числе работающих по совместительств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у) Центра включает в себя председателя и членов экзаменационной комиссии. В состав экзаменационной комиссии могут включаться научно-педагогические работники других организаций. Регламент работы экзаменационных комиссий определяется локальным актом Центра.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left="283" w:righ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Экзаменационная комиссия по приему кандида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тского экзамена по истории и философии науки правомочна принимать кандидатский экзамен по истории и философии науки, если в ее заседании участвуют не менее 2 специалистов, имеющих ученую степень кандидата или доктора философских наук, в том числе 1 доктор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философских наук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left="283" w:righ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 Решение экзаменационных комиссий оформляется протоколом, в котором указываются шифр и наименование научной специальности и отрасли науки, по которым сданы кандидат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ские экзамены; оценка уровня знаний по каждому кандидатскому экзамену; фамилия, имя, отчество (последнее - при наличии), ученая степень (в случае ее отсутствия - уровень профессионального образования и квалификация) каждого члена экзаменационной комиссии.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left="283" w:righ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случае неявки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на кандидатский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экзамен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уважительной причине, подтвержденной документально, дата проведения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кандидатского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экзамена переносится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 срок,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установленный приказом Центра.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left="283" w:righ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Уважительными причинами неявки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аспиранта на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 кандидатский экзамен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являются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  <w:t xml:space="preserve">болезнь аспиранта; необходимость ухода за родственником либо смерть ближайшего родственника; авария; катаклизм и чрезвычайная ситуация; ожидание авари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  <w:t xml:space="preserve">йных или спасательных служб; нахождение под арестом; присутствие на следственных действиях по повестке; участие в судебном заседании; работа в избирательной компании; выполнение государственных обязанностей по работе или в рамках волонтерской деятельности.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</w:r>
    </w:p>
    <w:p>
      <w:pPr>
        <w:ind w:left="283" w:righ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Вышеуказанные уважительные причины должны быть подтверждены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документами,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оформленными в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  <w14:ligatures w14:val="none"/>
        </w:rPr>
        <w:t xml:space="preserve"> установленном порядке.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3.ШКАЛА ОЦЕНИВАНИЯ ПИСЬМЕННЫХ ЗАДАНИЙ   КАНДИДАТСКОГО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tbl>
      <w:tblPr>
        <w:tblW w:w="92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984"/>
        <w:gridCol w:w="6282"/>
      </w:tblGrid>
      <w:tr>
        <w:tblPrEx/>
        <w:trPr>
          <w:jc w:val="center"/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none"/>
              </w:rPr>
              <w:t xml:space="preserve">Оценка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none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</w:p>
        </w:tc>
      </w:tr>
      <w:tr>
        <w:tblPrEx/>
        <w:trPr>
          <w:jc w:val="center"/>
          <w:trHeight w:val="18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50 и более баллов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(отлично)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Демонстрирует полное понимание проблемы.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Все требования, предъявляемые к заданию выполнены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.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Продемонстрировано уверенное владение материалом дисциплины. Выполненные задания носят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целостных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1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42-49 баллов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(хорошо)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5" w:type="dxa"/>
            <w:textDirection w:val="lrTb"/>
            <w:noWrap w:val="false"/>
          </w:tcPr>
          <w:p>
            <w:pPr>
              <w:pStyle w:val="896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Демонстрирует значительное понимание проблемы обозначенной дисциплиной. </w:t>
            </w:r>
            <w:r>
              <w:rPr>
                <w:color w:val="000000"/>
                <w:sz w:val="28"/>
                <w:szCs w:val="28"/>
              </w:rPr>
              <w:t xml:space="preserve">Все требования, предъявляемые к заданию выполнены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7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10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35-41 баллов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удовлетворительно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Демонстрирует не полное понимание проблемы.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Все требования, предъявляемые к заданию выполнены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 не в полном объеме. Содержание выполненных заданий не полностью раскрыто и не рассмотрено с разных точек зрения.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0-34 балла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(неудовлетворительно)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емонстрирует отсутствие понимания проблемы. Продемонстрировано отсутствие владения материалом программы. Ответ не структурирован.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</w:tbl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  <w:sectPr>
          <w:footerReference w:type="default" r:id="rId9"/>
          <w:footnotePr/>
          <w:endnotePr/>
          <w:type w:val="nextPage"/>
          <w:pgSz w:w="11910" w:h="16840" w:orient="portrait"/>
          <w:pgMar w:top="851" w:right="851" w:bottom="1134" w:left="851" w:header="0" w:footer="975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103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ПЕРВЫЙ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ВАРИАНТ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СДАЧИ КАНДИДАТСКОГО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left="222" w:right="103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left="222" w:right="103" w:firstLine="48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Аспирант, в срок до 20.12.2024 года, должен выполнить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3 (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три) письменных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103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задания и направить их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электронн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ый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адрес Центра для оценки членами экзаменационной комиссии.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95"/>
        <w:numPr>
          <w:ilvl w:val="1"/>
          <w:numId w:val="4"/>
        </w:numPr>
        <w:ind w:right="48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Письменное задание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Заполнит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таблицу, сравнив характерные черты науки (в представленной интерпретации)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 таковыми у философии и религии.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После ответа «да/нет» необходимо дать короткое обоснование своей позиции.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97"/>
        <w:gridCol w:w="3119"/>
        <w:gridCol w:w="2948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none"/>
              </w:rPr>
              <w:t xml:space="preserve">Характерные черты науки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none"/>
              </w:rPr>
              <w:t xml:space="preserve">Для философии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(да/нет +обоснование)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none"/>
              </w:rPr>
              <w:t xml:space="preserve">Для религии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да/нет +обоснование)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Универсальность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сообщает знания, истинные для всего универсума при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тех условиях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, при которых они добыты человеком. Научные законы действуют во всей Вселенной.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Фрагментарность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изучает не бытие в целом, а различные фрагменты реальности или ее параметры; сама же делится на отдельные дисциплины.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Общезначимость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научные знания пригодны для всех людей; язык науки однозначно фиксирует термины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Безличность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ни индивидуальные особенности ученого, ни его национальность или место проживания никак не представлены в конечных результатах научного познания.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Систематичность - наука имеет определенную структуру, а не является бессвязным набором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частей.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Незавершенность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хотя научное знание безгранично растет, оно не может достичь абсолютной истины.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Преемственность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новые знания определенным образом и по определенным правилам соотносятся со старыми знаниями.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Критичность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готовность поставить под сомнение и пересмотреть свои даже основополагающие результаты.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Достоверность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научные выводы требуют, допускают и проходят проверку по определенным сформулированным правилам.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Внеморальность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научные истины нейтральны в морально-этическом плане, а нравственные оценки могут относиться либо к деятельности по получению знания, либо к деятельности по его применению.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Рациональность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получение знаний на основе рациональных процедур.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Чувственность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 научные результаты требуют эмпирической проверки с использованием восприятия и только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после этого признаются достоверными.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ind w:right="480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48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4.2. Письменное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 задание 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right="48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firstLine="720"/>
        <w:jc w:val="lef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Проанализир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уйте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содержание фрагментов текста в письменном виде.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</w:t>
      </w:r>
      <w:r>
        <w:rPr>
          <w:rFonts w:ascii="Times New Roman" w:hAnsi="Times New Roman" w:eastAsia="Times New Roman" w:cs="Times New Roman"/>
          <w:i/>
          <w:sz w:val="28"/>
          <w:szCs w:val="28"/>
          <w14:ligatures w14:val="none"/>
        </w:rPr>
        <w:t xml:space="preserve"> Какое отличие и с чем хотел подчеркнуть автор высказывания?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«В греческом мышлении ответ на поставленный вопрос дается в результате убеждения в его приемлемости, в современном - посредством опытов и прогрессирующего наблюдения.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 мышлении древних уже простое размышление называется исследованием, в современном - исследование должно быть деятельностью» (К. Ясперс)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851"/>
        <w:jc w:val="both"/>
        <w:spacing w:after="0" w:line="240" w:lineRule="auto"/>
        <w:widowControl w:val="off"/>
        <w:tabs>
          <w:tab w:val="left" w:pos="510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2. </w:t>
      </w:r>
      <w:r>
        <w:rPr>
          <w:rFonts w:ascii="Times New Roman" w:hAnsi="Times New Roman" w:eastAsia="Times New Roman" w:cs="Times New Roman"/>
          <w:i/>
          <w:sz w:val="28"/>
          <w:szCs w:val="28"/>
          <w14:ligatures w14:val="none"/>
        </w:rPr>
        <w:t xml:space="preserve">Объясните, какие черты сходства и отличия науки и религии подчеркивает данное высказывание: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«Религия – это тот образ, каким человек чувствует себя духовно связанным с невидимым миром или с не-миром» (Т.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Карлейль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85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3. </w:t>
      </w:r>
      <w:r>
        <w:rPr>
          <w:rFonts w:ascii="Times New Roman" w:hAnsi="Times New Roman" w:eastAsia="Times New Roman" w:cs="Times New Roman"/>
          <w:i/>
          <w:sz w:val="28"/>
          <w:szCs w:val="28"/>
          <w14:ligatures w14:val="none"/>
        </w:rPr>
        <w:t xml:space="preserve">Какое противоречие в науке подчеркивает автор высказывания?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«Наука не открывается каждому без усилий. Подавляющее число людей не имеет о науке никакого понятия. Это — прорыв в сознании нашего времени. Наука доступна лишь немногим. Будучи основной характерной чертой нашего времени, она в своей подлинной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сущности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тем не менее духовно бессильна, так как люди в своей массе, усваивая технические возможности или догматически воспринимая ходульные истины, остаются вне ее» (К. Ясперс).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85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4. </w:t>
      </w:r>
      <w:r>
        <w:rPr>
          <w:rFonts w:ascii="Times New Roman" w:hAnsi="Times New Roman" w:eastAsia="Times New Roman" w:cs="Times New Roman"/>
          <w:i/>
          <w:sz w:val="28"/>
          <w:szCs w:val="28"/>
          <w14:ligatures w14:val="none"/>
        </w:rPr>
        <w:t xml:space="preserve">О каком противопоставлении науки и философии идет речь?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«Правильным методом философии был бы следующий: не говорить ничего, кроме того, что может быть сказано, — следовательно, кроме предложений естествознания, т. е. того, что не имеет ничего общего с философией» (Л.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Витгенштейн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85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5. </w:t>
      </w:r>
      <w:r>
        <w:rPr>
          <w:rFonts w:ascii="Times New Roman" w:hAnsi="Times New Roman" w:eastAsia="Times New Roman" w:cs="Times New Roman"/>
          <w:i/>
          <w:sz w:val="28"/>
          <w:szCs w:val="28"/>
          <w14:ligatures w14:val="none"/>
        </w:rPr>
        <w:t xml:space="preserve">В каком смысле современную науку можно интерпретировать как диалог с природой?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«Открытый современной наукой экспериментальный диалог с природой подразумевает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активное вмешательство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а не пассив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ное наблюдение. Перед учеными ставится задача научиться управлять физической реальностью, вынуждать ее действовать в рамках «сценария» как можно ближе к теоретическому описанию. Исследуемое явление должно быть предварительно препарировано и изолировано, с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тем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чтобы оно могло служить приближением к некоторой идеальной ситуации, возможно физически недостижимой, но согласующейся с принятой концептуальной схемой» (И. Пригожин, И.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Стенгерс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85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6. </w:t>
      </w:r>
      <w:r>
        <w:rPr>
          <w:rFonts w:ascii="Times New Roman" w:hAnsi="Times New Roman" w:eastAsia="Times New Roman" w:cs="Times New Roman"/>
          <w:i/>
          <w:sz w:val="28"/>
          <w:szCs w:val="28"/>
          <w14:ligatures w14:val="none"/>
        </w:rPr>
        <w:t xml:space="preserve">О каком противоречии современной науки идет речь?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«Было бы неверно называть современную науку экспериментальной потому, что при вопрошании природы она использует экспериментальные устройства. Правильное противоположное утверждение, и вот почему: физика, уж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е как чистая теория, требует, чтобы природа проявила себя в предсказуемых силах; она ставит свои эксперименты с единственной целью задать природе вопрос: следует ли та, и если следует, то каким именно образом, схеме, предначертанной наукой» (М. Хайдеггер).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2055" w:right="480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right="48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4.3. Письменное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 задание 3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 w:val="0"/>
        <w:ind w:firstLine="720"/>
        <w:jc w:val="lef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Заполните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таблицу (в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электронном виде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или письменно).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Отличие методологии социальных (на примере социологии) и гуманитарных на примере культурологии) наук.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325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Характеристики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  <w14:ligatures w14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не менее 7)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Социальные науки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Гуманитарные науки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103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ВТОРОЙ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ВАРИАНТ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 СДАЧИ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 КАНДИДАТСКОГО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right="103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Аспирант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отвечает на два вопроса – по одному вопросу из 1 и 2 частей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в срок до 20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декабря 2024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и направляет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электронн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ый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адрес Центра для проверки экзаменационной комиссией.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960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right="96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Вопросы для письменного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кандидатского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экзамена по вопросам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Часть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Предмет и основные концепции современной философии науки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Предмет и основные аспекты философии науки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Эпистемологический подход к изучению науки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Социокультурный подход к изучению науки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Возникновение науки и основные стадии ее исторической эволюции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Место науки в системе культуры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Наука и тип цивилизации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Становление науки как отрасли культуры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Зарождение экспериментально-математической науки. Динамика науки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Методология познания Нового времени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Становление методологии эмпирического познания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Становление методологии теоретического познания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Значение агностицизма для методологии науки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Значение объективного идеализма для методологии науки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Значение материализма для методологии науки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Позитивизм первой волны: классификация науки и эволюционизм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Позитивизм второй волны: принцип «экономии мышления»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72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Часть 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Неопозитивизм: проверка научности и осмысленности научных теорий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Постпозитивизм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: научная революция, научно-исследовательская программа, принцип пролиферации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Структура естествознания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Естествознание в системе науки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Особенности научного познания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Структура естественнонаучного познания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Методы естественнонаучного познания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Значение и функции современной науки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Научные традиции и научные революции. Типы научной рациональности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Динамика науки как процесс рождения нового знания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Современная научная картина мира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Перспективы научно-технического прогресса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Особенности методологии социально-гуманитарных наук. Методологические отличия естественных и гуманитарных наук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Предмет социально-гуманитарных наук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Черты неклассической рациональности в социально-гуманитарных науках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Черты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постнеклассической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науки в современных социально-гуманитарных науках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Перспективы современной науки. Наука как эволюционный процесс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Сближение естественнонаучного и социально-гуманитарного знания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3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Противоречия современной науки  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1" w:bottom="1134" w:left="851" w:header="709" w:footer="709" w:gutter="0"/>
      <w:pgNumType w:start="5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0060065"/>
      <w:docPartObj>
        <w:docPartGallery w:val="Page Numbers (Bottom of Page)"/>
        <w:docPartUnique w:val="true"/>
      </w:docPartObj>
      <w:rPr/>
    </w:sdtPr>
    <w:sdtContent>
      <w:p>
        <w:pPr>
          <w:pStyle w:val="88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91"/>
      <w:spacing w:line="14" w:lineRule="auto"/>
      <w:rPr>
        <w:sz w:val="19"/>
      </w:rPr>
    </w:pPr>
    <w:r>
      <w:rPr>
        <w:sz w:val="19"/>
      </w:rPr>
    </w:r>
    <w:r>
      <w:rPr>
        <w:sz w:val="19"/>
      </w:rPr>
    </w:r>
    <w:r>
      <w:rPr>
        <w:sz w:val="1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5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42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9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4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71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595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5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42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9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4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71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595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7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311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7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311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5"/>
    <w:next w:val="885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6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5"/>
    <w:next w:val="885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6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5"/>
    <w:next w:val="885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6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6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6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6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6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5"/>
    <w:next w:val="885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6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5"/>
    <w:next w:val="88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6"/>
    <w:link w:val="729"/>
    <w:uiPriority w:val="10"/>
    <w:rPr>
      <w:sz w:val="48"/>
      <w:szCs w:val="48"/>
    </w:rPr>
  </w:style>
  <w:style w:type="paragraph" w:styleId="731">
    <w:name w:val="Subtitle"/>
    <w:basedOn w:val="885"/>
    <w:next w:val="88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6"/>
    <w:link w:val="731"/>
    <w:uiPriority w:val="11"/>
    <w:rPr>
      <w:sz w:val="24"/>
      <w:szCs w:val="24"/>
    </w:rPr>
  </w:style>
  <w:style w:type="paragraph" w:styleId="733">
    <w:name w:val="Quote"/>
    <w:basedOn w:val="885"/>
    <w:next w:val="885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5"/>
    <w:next w:val="885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6"/>
    <w:link w:val="893"/>
    <w:uiPriority w:val="99"/>
  </w:style>
  <w:style w:type="character" w:styleId="738">
    <w:name w:val="Footer Char"/>
    <w:basedOn w:val="886"/>
    <w:link w:val="889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89"/>
    <w:uiPriority w:val="99"/>
  </w:style>
  <w:style w:type="table" w:styleId="741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1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2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3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4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5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6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8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2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5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9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6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6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Footer"/>
    <w:basedOn w:val="885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886"/>
    <w:link w:val="889"/>
    <w:uiPriority w:val="99"/>
  </w:style>
  <w:style w:type="paragraph" w:styleId="891">
    <w:name w:val="Body Text"/>
    <w:basedOn w:val="885"/>
    <w:link w:val="892"/>
    <w:uiPriority w:val="99"/>
    <w:semiHidden/>
    <w:unhideWhenUsed/>
    <w:pPr>
      <w:spacing w:after="120"/>
    </w:pPr>
  </w:style>
  <w:style w:type="character" w:styleId="892" w:customStyle="1">
    <w:name w:val="Основной текст Знак"/>
    <w:basedOn w:val="886"/>
    <w:link w:val="891"/>
    <w:uiPriority w:val="99"/>
    <w:semiHidden/>
  </w:style>
  <w:style w:type="paragraph" w:styleId="893">
    <w:name w:val="Header"/>
    <w:basedOn w:val="885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886"/>
    <w:link w:val="893"/>
    <w:uiPriority w:val="99"/>
  </w:style>
  <w:style w:type="paragraph" w:styleId="895">
    <w:name w:val="List Paragraph"/>
    <w:basedOn w:val="885"/>
    <w:uiPriority w:val="34"/>
    <w:qFormat/>
    <w:pPr>
      <w:contextualSpacing/>
      <w:ind w:left="720"/>
    </w:pPr>
  </w:style>
  <w:style w:type="paragraph" w:styleId="896" w:customStyle="1">
    <w:name w:val="docdata"/>
    <w:basedOn w:val="8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897">
    <w:name w:val="Normal (Web)"/>
    <w:basedOn w:val="88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V</dc:creator>
  <cp:revision>6</cp:revision>
  <dcterms:created xsi:type="dcterms:W3CDTF">2023-12-25T09:59:00Z</dcterms:created>
  <dcterms:modified xsi:type="dcterms:W3CDTF">2024-12-19T08:55:52Z</dcterms:modified>
</cp:coreProperties>
</file>