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2"/>
        <w:gridCol w:w="8440"/>
        <w:gridCol w:w="809"/>
      </w:tblGrid>
      <w:tr>
        <w:tblPrEx/>
        <w:trPr>
          <w:trHeight w:val="660"/>
        </w:trPr>
        <w:tc>
          <w:tcPr>
            <w:gridSpan w:val="3"/>
            <w:tcW w:w="9881" w:type="dxa"/>
            <w:textDirection w:val="lrTb"/>
            <w:noWrap w:val="false"/>
          </w:tcPr>
          <w:p>
            <w:pPr>
              <w:ind w:right="567"/>
              <w:jc w:val="center"/>
              <w:spacing w:after="0" w:line="240" w:lineRule="auto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/>
              <w:jc w:val="center"/>
              <w:spacing w:after="0" w:line="240" w:lineRule="auto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/>
                <w:spacing w:val="30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14:ligatures w14:val="none"/>
              </w:rPr>
              <w:t xml:space="preserve">«Научно-исследовательский «Центр развития энергетического права и современной правовой науки имени В.А. Мусина»</w:t>
            </w:r>
            <w:r>
              <w:rPr>
                <w:rFonts w:ascii="Times New Roman" w:hAnsi="Times New Roman" w:eastAsia="Times New Roman" w:cs="Times New Roman"/>
                <w:b/>
                <w:spacing w:val="30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spacing w:val="30"/>
                <w:sz w:val="28"/>
                <w14:ligatures w14:val="none"/>
              </w:rPr>
            </w:r>
          </w:p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</w:tr>
    </w:tbl>
    <w:p>
      <w:pPr>
        <w:ind w:right="567"/>
        <w:jc w:val="right"/>
        <w:spacing w:after="0" w:line="240" w:lineRule="auto"/>
        <w:widowControl w:val="off"/>
        <w:tabs>
          <w:tab w:val="left" w:pos="4075" w:leader="none"/>
        </w:tabs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caps/>
          <w:sz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</w:p>
    <w:p>
      <w:pPr>
        <w:ind w:right="567"/>
        <w:jc w:val="right"/>
        <w:spacing w:after="0" w:line="240" w:lineRule="auto"/>
        <w:widowControl w:val="off"/>
        <w:tabs>
          <w:tab w:val="left" w:pos="4075" w:leader="none"/>
        </w:tabs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</w:p>
    <w:p>
      <w:pPr>
        <w:ind w:right="567"/>
        <w:jc w:val="right"/>
        <w:spacing w:after="0" w:line="240" w:lineRule="auto"/>
        <w:widowControl w:val="off"/>
        <w:tabs>
          <w:tab w:val="left" w:pos="4075" w:leader="none"/>
        </w:tabs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</w:p>
    <w:p>
      <w:pPr>
        <w:ind w:right="567"/>
        <w:jc w:val="right"/>
        <w:spacing w:after="0" w:line="240" w:lineRule="auto"/>
        <w:widowControl w:val="off"/>
        <w:tabs>
          <w:tab w:val="left" w:pos="4075" w:leader="none"/>
        </w:tabs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</w:p>
    <w:p>
      <w:pPr>
        <w:ind w:right="567"/>
        <w:jc w:val="right"/>
        <w:spacing w:after="0" w:line="240" w:lineRule="auto"/>
        <w:widowControl w:val="off"/>
        <w:tabs>
          <w:tab w:val="left" w:pos="4075" w:leader="none"/>
        </w:tabs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pPr>
      <w:r/>
      <w:bookmarkStart w:id="1" w:name="_Hlk24113178"/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14:ligatures w14:val="none"/>
        </w:rPr>
      </w:r>
    </w:p>
    <w:p>
      <w:pPr>
        <w:ind w:right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</w:p>
    <w:p>
      <w:pPr>
        <w:ind w:right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  <w:t xml:space="preserve">Программа кандидатского экзамена по дисциплине</w:t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</w:p>
    <w:p>
      <w:pPr>
        <w:ind w:right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  <w:t xml:space="preserve"> «История и философия науки»</w:t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</w:p>
    <w:p>
      <w:pPr>
        <w:ind w:right="567"/>
        <w:jc w:val="center"/>
        <w:spacing w:after="0" w:line="240" w:lineRule="auto"/>
        <w:widowControl w:val="off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sz w:val="28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14:ligatures w14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>
        <w:tblPrEx/>
        <w:trPr>
          <w:trHeight w:val="853"/>
        </w:trPr>
        <w:tc>
          <w:tcPr>
            <w:tcW w:w="3369" w:type="dxa"/>
            <w:vAlign w:val="center"/>
            <w:textDirection w:val="lrTb"/>
            <w:noWrap w:val="false"/>
          </w:tcPr>
          <w:p>
            <w:pPr>
              <w:ind w:right="567"/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Направление подготовки/научная специальность </w:t>
            </w:r>
            <w:r>
              <w:rPr>
                <w:rFonts w:ascii="Times New Roman" w:hAnsi="Times New Roman" w:eastAsia="Times New Roman" w:cs="Times New Roman"/>
                <w:b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14:ligatures w14:val="none"/>
              </w:rPr>
            </w:r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ind w:right="567"/>
              <w:spacing w:after="0" w:line="252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5.1.2. Публично-правовые (государственно-правовые) науки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5.1.3. 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Частно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-правовые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цивилистические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) науки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color w:val="e36c0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5.1.5. Международно-правовые науки</w:t>
            </w:r>
            <w:r>
              <w:rPr>
                <w:rFonts w:ascii="Times New Roman" w:hAnsi="Times New Roman" w:eastAsia="Times New Roman" w:cs="Times New Roman"/>
                <w:i/>
                <w:color w:val="e36c0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i/>
                <w:color w:val="e36c0a"/>
                <w14:ligatures w14:val="none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ind w:right="567"/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Направленность (профиль) программы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ind w:right="567" w:firstLine="33"/>
              <w:spacing w:after="0" w:line="252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 w:firstLine="33"/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Энергетическое право. Публично-правовые отношения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 w:firstLine="33"/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Энергетическое право. 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Частно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-правовые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 отношения.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 w:firstLine="33"/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i/>
                <w:color w:val="e36c0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Энергетическое право. Международно-правовые отношения.</w:t>
            </w:r>
            <w:r>
              <w:rPr>
                <w:rFonts w:ascii="Times New Roman" w:hAnsi="Times New Roman" w:eastAsia="Times New Roman" w:cs="Times New Roman"/>
                <w:i/>
                <w:color w:val="e36c0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i/>
                <w:color w:val="e36c0a"/>
                <w14:ligatures w14:val="none"/>
              </w:rPr>
            </w:r>
          </w:p>
        </w:tc>
      </w:tr>
      <w:tr>
        <w:tblPrEx/>
        <w:trPr>
          <w:trHeight w:val="283"/>
        </w:trPr>
        <w:tc>
          <w:tcPr>
            <w:tcW w:w="3369" w:type="dxa"/>
            <w:textDirection w:val="lrTb"/>
            <w:noWrap w:val="false"/>
          </w:tcPr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Уровень высшего образования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Форма обучения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Подготовка кадров высшей квалификации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  <w:p>
            <w:pPr>
              <w:ind w:right="56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  <w:t xml:space="preserve">Очная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</w:tc>
      </w:tr>
    </w:tbl>
    <w:p>
      <w:pPr>
        <w:ind w:right="567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14:ligatures w14:val="none"/>
        </w:rPr>
      </w:pPr>
      <w:r>
        <w:rPr>
          <w:rFonts w:ascii="Times New Roman" w:hAnsi="Times New Roman" w:eastAsia="Times New Roman" w:cs="Times New Roman"/>
          <w:sz w:val="16"/>
          <w14:ligatures w14:val="none"/>
        </w:rPr>
      </w:r>
      <w:r>
        <w:rPr>
          <w:rFonts w:ascii="Times New Roman" w:hAnsi="Times New Roman" w:eastAsia="Times New Roman" w:cs="Times New Roman"/>
          <w:sz w:val="16"/>
          <w14:ligatures w14:val="none"/>
        </w:rPr>
      </w:r>
      <w:r>
        <w:rPr>
          <w:rFonts w:ascii="Times New Roman" w:hAnsi="Times New Roman" w:eastAsia="Times New Roman" w:cs="Times New Roman"/>
          <w:sz w:val="16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14:ligatures w14:val="none"/>
        </w:rPr>
      </w:pPr>
      <w:r>
        <w:rPr>
          <w:rFonts w:ascii="Times New Roman" w:hAnsi="Times New Roman" w:eastAsia="Times New Roman" w:cs="Times New Roman"/>
          <w:sz w:val="16"/>
          <w14:ligatures w14:val="none"/>
        </w:rPr>
      </w:r>
      <w:r>
        <w:rPr>
          <w:rFonts w:ascii="Times New Roman" w:hAnsi="Times New Roman" w:eastAsia="Times New Roman" w:cs="Times New Roman"/>
          <w:sz w:val="16"/>
          <w14:ligatures w14:val="none"/>
        </w:rPr>
      </w:r>
      <w:r>
        <w:rPr>
          <w:rFonts w:ascii="Times New Roman" w:hAnsi="Times New Roman" w:eastAsia="Times New Roman" w:cs="Times New Roman"/>
          <w:sz w:val="16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14:ligatures w14:val="none"/>
        </w:rPr>
      </w:pPr>
      <w:r>
        <w:rPr>
          <w:rFonts w:ascii="Times New Roman" w:hAnsi="Times New Roman" w:eastAsia="Times New Roman" w:cs="Times New Roman"/>
          <w:sz w:val="16"/>
          <w14:ligatures w14:val="none"/>
        </w:rPr>
      </w:r>
      <w:r>
        <w:rPr>
          <w:rFonts w:ascii="Times New Roman" w:hAnsi="Times New Roman" w:eastAsia="Times New Roman" w:cs="Times New Roman"/>
          <w:sz w:val="16"/>
          <w14:ligatures w14:val="none"/>
        </w:rPr>
      </w:r>
      <w:r>
        <w:rPr>
          <w:rFonts w:ascii="Times New Roman" w:hAnsi="Times New Roman" w:eastAsia="Times New Roman" w:cs="Times New Roman"/>
          <w:sz w:val="16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  <w:t xml:space="preserve">2025 г.</w:t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14:ligatures w14:val="none"/>
        </w:rPr>
      </w:pPr>
      <w:r>
        <w:rPr>
          <w:rFonts w:ascii="Times New Roman" w:hAnsi="Times New Roman" w:eastAsia="Times New Roman" w:cs="Times New Roman"/>
          <w:sz w:val="16"/>
          <w14:ligatures w14:val="none"/>
        </w:rPr>
      </w:r>
      <w:r>
        <w:rPr>
          <w:rFonts w:ascii="Times New Roman" w:hAnsi="Times New Roman" w:eastAsia="Times New Roman" w:cs="Times New Roman"/>
          <w:sz w:val="16"/>
          <w14:ligatures w14:val="none"/>
        </w:rPr>
      </w:r>
      <w:r>
        <w:rPr>
          <w:rFonts w:ascii="Times New Roman" w:hAnsi="Times New Roman" w:eastAsia="Times New Roman" w:cs="Times New Roman"/>
          <w:sz w:val="16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  <w:t xml:space="preserve">© Горелова Т.А., письменные задания и </w:t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  <w:t xml:space="preserve">письменные вопросы, 2025 год.</w:t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  <w:t xml:space="preserve">© АНО «Научно-исследовательский</w:t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  <w:t xml:space="preserve"> «Центр развития энергетического права и </w:t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  <w:t xml:space="preserve">современной правовой науки </w:t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  <w:t xml:space="preserve">имени В.А. Мусина», методическое оформление, 2025.</w:t>
      </w:r>
      <w:bookmarkEnd w:id="1"/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ind w:right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14:ligatures w14:val="non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jc w:val="center"/>
        <w:spacing w:before="74" w:after="0" w:line="240" w:lineRule="auto"/>
        <w:widowControl w:val="off"/>
        <w:tabs>
          <w:tab w:val="left" w:pos="1290" w:leader="none"/>
        </w:tabs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  <w:t xml:space="preserve">ОБЩИЕ</w:t>
      </w:r>
      <w:r>
        <w:rPr>
          <w:rFonts w:ascii="Times New Roman" w:hAnsi="Times New Roman" w:eastAsia="Times New Roman" w:cs="Times New Roman"/>
          <w:b/>
          <w:spacing w:val="-7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  <w:t xml:space="preserve">ПОЛОЖЕНИЯ</w:t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numPr>
          <w:ilvl w:val="1"/>
          <w:numId w:val="1"/>
        </w:numPr>
        <w:ind w:left="142" w:right="672" w:firstLine="744"/>
        <w:jc w:val="both"/>
        <w:spacing w:after="0" w:line="237" w:lineRule="auto"/>
        <w:widowControl w:val="off"/>
        <w:tabs>
          <w:tab w:val="left" w:pos="2233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Программа кандидатского экзамена по дисциплине «История и философия</w:t>
      </w:r>
      <w:r>
        <w:rPr>
          <w:rFonts w:ascii="Times New Roman" w:hAnsi="Times New Roman" w:eastAsia="Times New Roman" w:cs="Times New Roman"/>
          <w:spacing w:val="-37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14:ligatures w14:val="none"/>
        </w:rPr>
        <w:t xml:space="preserve">науки»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(далее – Программа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14:ligatures w14:val="none"/>
        </w:rPr>
        <w:t xml:space="preserve">кандидатского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экзамена) разработана в соответствии</w:t>
      </w:r>
      <w:r>
        <w:rPr>
          <w:rFonts w:ascii="Times New Roman" w:hAnsi="Times New Roman" w:eastAsia="Times New Roman" w:cs="Times New Roman"/>
          <w:spacing w:val="8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95"/>
        <w:numPr>
          <w:ilvl w:val="0"/>
          <w:numId w:val="13"/>
        </w:numPr>
        <w:ind w:left="142" w:right="672" w:firstLine="744"/>
        <w:jc w:val="both"/>
        <w:spacing w:after="0" w:line="237" w:lineRule="auto"/>
        <w:widowControl w:val="off"/>
        <w:tabs>
          <w:tab w:val="left" w:pos="2233" w:leader="none"/>
        </w:tabs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Федеральным законом от 29 декабря 2012 г. № 273-ФЗ «Об образовании в Российской Федерации»;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895"/>
        <w:numPr>
          <w:ilvl w:val="0"/>
          <w:numId w:val="13"/>
        </w:numPr>
        <w:ind w:left="142" w:right="672" w:firstLine="744"/>
        <w:jc w:val="both"/>
        <w:spacing w:after="0" w:line="237" w:lineRule="auto"/>
        <w:widowControl w:val="off"/>
        <w:tabs>
          <w:tab w:val="left" w:pos="2233" w:leader="none"/>
        </w:tabs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24 сентябр</w:t>
      </w:r>
      <w:r>
        <w:rPr>
          <w:rFonts w:ascii="Times New Roman" w:hAnsi="Times New Roman"/>
          <w:sz w:val="28"/>
          <w:szCs w:val="28"/>
        </w:rPr>
        <w:t xml:space="preserve">я 2013 г.№ 842 «О порядке присуждения ученых степеней»;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895"/>
        <w:numPr>
          <w:ilvl w:val="0"/>
          <w:numId w:val="13"/>
        </w:numPr>
        <w:ind w:left="142" w:right="672" w:firstLine="744"/>
        <w:jc w:val="both"/>
        <w:spacing w:after="0" w:line="237" w:lineRule="auto"/>
        <w:widowControl w:val="off"/>
        <w:tabs>
          <w:tab w:val="left" w:pos="2233" w:leader="none"/>
        </w:tabs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30 ноября 2021 г. </w:t>
      </w:r>
      <w:r>
        <w:rPr>
          <w:rFonts w:ascii="Times New Roman" w:hAnsi="Times New Roman"/>
          <w:sz w:val="28"/>
        </w:rPr>
        <w:t xml:space="preserve">№ 2122 «Об утверждении Положения о подготовке научных и научно-педагогических кад</w:t>
      </w:r>
      <w:r>
        <w:rPr>
          <w:rFonts w:ascii="Times New Roman" w:hAnsi="Times New Roman"/>
          <w:sz w:val="28"/>
        </w:rPr>
        <w:t xml:space="preserve">ров в аспирантуре (адъюнктуре)»;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895"/>
        <w:numPr>
          <w:ilvl w:val="0"/>
          <w:numId w:val="13"/>
        </w:numPr>
        <w:ind w:left="142" w:right="672" w:firstLine="744"/>
        <w:jc w:val="both"/>
        <w:spacing w:after="0" w:line="237" w:lineRule="auto"/>
        <w:widowControl w:val="off"/>
        <w:tabs>
          <w:tab w:val="left" w:pos="2233" w:leader="none"/>
        </w:tabs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Приказом Минобрнауки России от 20 октября 2021 г. № 951 «Об утверждении федеральных государствен</w:t>
      </w:r>
      <w:r>
        <w:rPr>
          <w:rFonts w:ascii="Times New Roman" w:hAnsi="Times New Roman"/>
          <w:sz w:val="28"/>
        </w:rPr>
        <w:t xml:space="preserve">ных требований к структуре программ подготовки научных и научно-педагогических кадров в аспирантуре (адъюнктуре), </w:t>
      </w:r>
      <w:r>
        <w:rPr>
          <w:rFonts w:ascii="Times New Roman" w:hAnsi="Times New Roman"/>
          <w:sz w:val="28"/>
          <w:szCs w:val="28"/>
        </w:rPr>
        <w:t xml:space="preserve">условиям их реализации, срокам освоения этих программ с учетом различных форм обучения, образов</w:t>
      </w:r>
      <w:r>
        <w:rPr>
          <w:rFonts w:ascii="Times New Roman" w:hAnsi="Times New Roman"/>
          <w:sz w:val="28"/>
          <w:szCs w:val="28"/>
        </w:rPr>
        <w:t xml:space="preserve">ательных технологий и особенностей отдельных ка</w:t>
      </w:r>
      <w:r>
        <w:rPr>
          <w:rFonts w:ascii="Times New Roman" w:hAnsi="Times New Roman"/>
          <w:sz w:val="28"/>
          <w:szCs w:val="28"/>
        </w:rPr>
        <w:t xml:space="preserve">тегорий аспирантов (адъ</w:t>
      </w:r>
      <w:r>
        <w:rPr>
          <w:rFonts w:ascii="Times New Roman" w:hAnsi="Times New Roman"/>
          <w:sz w:val="28"/>
          <w:szCs w:val="28"/>
        </w:rPr>
        <w:t xml:space="preserve">юнктов)»;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895"/>
        <w:numPr>
          <w:ilvl w:val="0"/>
          <w:numId w:val="13"/>
        </w:numPr>
        <w:ind w:left="142" w:right="672" w:firstLine="744"/>
        <w:jc w:val="both"/>
        <w:spacing w:after="0" w:line="237" w:lineRule="auto"/>
        <w:widowControl w:val="off"/>
        <w:tabs>
          <w:tab w:val="left" w:pos="2233" w:leader="none"/>
        </w:tabs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науки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высшего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 февраля 2021 г. № 118 «Об утверждении номенклатуры научных специальностей, по которым присуждаются ученые степени»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897"/>
        <w:numPr>
          <w:ilvl w:val="0"/>
          <w:numId w:val="15"/>
        </w:numPr>
        <w:ind w:left="142" w:right="672" w:firstLine="744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Уставом и соответствующими локальными нормативными актами Автономной некоммерческой организации «Научно -исследовательский «Центр развития энергетического права и современной правовой науки имени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В.А.Мусина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» (далее - Центр).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2" w:right="672" w:firstLine="744"/>
        <w:jc w:val="both"/>
        <w:spacing w:before="3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1.2.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Программа кандидатского экзамена регламентирует содержание, порядок сдачи кандидатского экзамена,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состав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экзаменационной комиссии, порядок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оценки уровня знаний соискателя ученой степени кандидата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наук, и включает перечень заданий и вопросов, выносимых на кандидатский экзамен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142" w:right="672" w:firstLine="744"/>
        <w:jc w:val="both"/>
        <w:spacing w:before="3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1.3.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На кандидатском эк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замене по дисциплине «История и философия науки» аспирант должен продемонстрировать глубокие и систематизированные знания по основным проблемам истории и философии науки, знание истории развития и современного состояния научной методологии, ее применения в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социальных и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гуманитарных науках и, главное, в его собственном</w:t>
      </w:r>
      <w:r>
        <w:rPr>
          <w:rFonts w:ascii="Times New Roman" w:hAnsi="Times New Roman" w:eastAsia="Times New Roman" w:cs="Times New Roman"/>
          <w:spacing w:val="-14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28"/>
          <w:szCs w:val="28"/>
          <w14:ligatures w14:val="none"/>
        </w:rPr>
        <w:t xml:space="preserve">диссертационном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исследовании.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142" w:right="672" w:firstLine="744"/>
        <w:jc w:val="both"/>
        <w:spacing w:before="3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1.4.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Сдача данного кандидатского экзаменов обязательна для присуждения ученой степени кандидата наук.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142" w:right="672" w:firstLine="744"/>
        <w:jc w:val="both"/>
        <w:spacing w:before="3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center"/>
        <w:spacing w:after="0" w:line="275" w:lineRule="exact"/>
        <w:widowControl w:val="off"/>
        <w:tabs>
          <w:tab w:val="left" w:pos="2055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t xml:space="preserve">2.ПОРЯДОК СДАЧИ КАНДИДАТСКОГО ЭКЗАМЕНА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left="0" w:right="0" w:firstLine="850"/>
        <w:jc w:val="center"/>
        <w:spacing w:after="0" w:line="275" w:lineRule="exact"/>
        <w:widowControl w:val="off"/>
        <w:tabs>
          <w:tab w:val="left" w:pos="2055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left="283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  2.1. Допуском к экзамену является зачет за выполненный реферат по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темам, размещенным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в Личном кабинете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обучающегося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283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Проверку и оценку реферата осуществляет научный руководитель аспиранта.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283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Реферат с оценкой научного руководителя должен быть направлен научному руководителю  в установленные в расписании сроки.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283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2.2. Кандидатский экзамен по дисциплине «История и философия науки» по научным специальностям: 5.1.2. Публично-правовые (государственно-правовые) науки; 5.1.3.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Частно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-правовые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цивилистические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) науки; 5.1.5. Международно-правовые науки проводится письменно. Аспирант может выбрать один из двух вариантов письменного экзамена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283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ля приема кандидатск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экзамен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созда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тся комисси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(далее - экзаменационные комиссии), состав котор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утверждается Директором Центра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left="283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Состав экзаменационной комиссии формируется из числа научно-педагогических работников (в том числе работающих по совместительств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у) Центра включает в себя председателя и членов экзаменационной комиссии. В состав экзаменационной комиссии могут включаться научно-педагогические работники других организаций. Регламент работы экзаменационных комиссий определяется локальным актом Центра.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left="283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Экзаменационная комиссия по приему кандида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тского экзамена по истории и философии науки правомочна принимать кандидатский экзамен по истории и философии науки, если в ее заседании участвуют не менее 2 специалистов, имеющих ученую степень кандидата или доктора философских наук, в том числе 1 доктор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философских наук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left="283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 Решение экзаменационных комиссий оформляется протоколом, в котором указываются шифр и наименование научной специальности и отрасли науки, по которым сданы кандидат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ские экзамены; оценка уровня знаний по каждому кандидатскому экзамену; фамилия, имя, отчество (последнее - при наличии), ученая степень (в случае ее отсутствия - уровень профессионального образования и ква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лификация) каждого члена экзаменационной комиссии.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left="283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случае неявки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 кандидатский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экзамен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уважительной причине, подтвержденной документально, дата проведения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кандидатского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экзамена переносится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 срок,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установленный приказом Центра.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left="283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Уважительными причинами неявки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аспиранта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кандидатский экзамен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являются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болезнь аспиранта; необходимость ухода за родственником либо смерть ближайшего родственника; авария; катаклизм и чрезвычайная ситуация; ожидание авари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йных или спасательных служб; нахождение под арестом; присутствие на следственных действиях по повестке; участие в судебном заседании; работа в избирательной компании; выполнение государственных обязанностей по работе или в рамках волонтерской 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left="283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Вышеуказанные уважительные причины должны быть подтверждены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документами,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оформленными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установленном порядке.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contextualSpacing/>
        <w:ind w:left="360" w:right="-1"/>
        <w:jc w:val="center"/>
        <w:spacing w:after="0" w:line="240" w:lineRule="auto"/>
        <w:tabs>
          <w:tab w:val="left" w:pos="1418" w:leader="none"/>
          <w:tab w:val="left" w:pos="15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left="360" w:right="-1"/>
        <w:jc w:val="center"/>
        <w:spacing w:after="0" w:line="240" w:lineRule="auto"/>
        <w:tabs>
          <w:tab w:val="left" w:pos="1418" w:leader="none"/>
          <w:tab w:val="left" w:pos="15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  <w:t xml:space="preserve">3.ШКАЛА ОЦЕНИВАНИЯ ПИСЬМЕННЫХ ЗАДАНИЙ   КАНДИДАТСКОГО ЭКЗАМЕНА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contextualSpacing/>
        <w:ind w:left="360" w:right="-1"/>
        <w:jc w:val="center"/>
        <w:spacing w:after="0" w:line="240" w:lineRule="auto"/>
        <w:tabs>
          <w:tab w:val="left" w:pos="1418" w:leader="none"/>
          <w:tab w:val="left" w:pos="1560" w:leader="none"/>
        </w:tabs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</w:p>
    <w:tbl>
      <w:tblPr>
        <w:tblW w:w="92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984"/>
        <w:gridCol w:w="6282"/>
      </w:tblGrid>
      <w:tr>
        <w:tblPrEx/>
        <w:trPr>
          <w:jc w:val="center"/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14:ligatures w14:val="none"/>
              </w:rPr>
              <w:t xml:space="preserve">Оценка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14:ligatures w14:val="none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>
          <w:jc w:val="center"/>
          <w:trHeight w:val="18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50 и более баллов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(отлично)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Демонстрирует полное понимание проблемы. </w:t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Все требования, предъявляемые к заданию выполнены</w:t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Продемонстрировано уверенное владение материалом дисциплины. Выполненные задания носят </w:t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целостных</w:t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 характер, выполнены в полном объеме, структурированы, представлены различные точки зрения, продемонстрирован творческий подход.</w:t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jc w:val="center"/>
          <w:trHeight w:val="1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42-49 баллов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(хорошо)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5" w:type="dxa"/>
            <w:textDirection w:val="lrTb"/>
            <w:noWrap w:val="false"/>
          </w:tcPr>
          <w:p>
            <w:pPr>
              <w:pStyle w:val="896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Демонстрирует значительное понимание проблемы обозначенной дисциплиной. </w:t>
            </w:r>
            <w:r>
              <w:rPr>
                <w:color w:val="000000"/>
                <w:sz w:val="28"/>
                <w:szCs w:val="28"/>
              </w:rPr>
              <w:t xml:space="preserve">Все требования, предъявляемые к заданию выполнены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7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выполненных заданий раскрыто и рассмотрено с разных точек зрения.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10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35-41 баллов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удовлетворительно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Демонстрирует не полное понимание проблемы. </w:t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Все требования, предъявляемые к заданию выполнены</w:t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 не в полном объеме. Содержание выполненных заданий не полностью раскрыто и не рассмотрено с разных точек зрения.</w:t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jc w:val="center"/>
          <w:trHeight w:val="7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0-34 балла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(неудовлетворительно)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емонстрирует отсутствие понимания проблемы. Продемонстрировано отсутствие владения материалом программы. Ответ не структурирован.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>
      <w:pPr>
        <w:spacing w:after="0" w:line="298" w:lineRule="exact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sectPr>
          <w:footerReference w:type="default" r:id="rId9"/>
          <w:footnotePr/>
          <w:endnotePr/>
          <w:type w:val="nextPage"/>
          <w:pgSz w:w="11910" w:h="16840" w:orient="portrait"/>
          <w:pgMar w:top="851" w:right="851" w:bottom="1134" w:left="851" w:header="0" w:footer="975" w:gutter="0"/>
          <w:pgNumType w:start="1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10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t xml:space="preserve">4. 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t xml:space="preserve">ДАЧаКАНДИДАТСКОГО ЭКЗАМЕНА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left="222" w:right="10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left="222" w:right="103" w:firstLine="48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4.1. Аспирант, в срок до 25.12.2025 года, должен выполнить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3 (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три) письменных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задания и направить их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электронн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ый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адрес Центра для оценки членами экзаменационной комиссии.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95"/>
        <w:numPr>
          <w:ilvl w:val="1"/>
          <w:numId w:val="4"/>
        </w:numPr>
        <w:ind w:right="48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t xml:space="preserve">Письменное задание №1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Заполнит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таблицу, сравнив характерные черты науки (в представленной интерпретации)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с таковыми у философии и религии.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После ответа «да/нет» необходимо дать короткое обоснование своей позиции.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97"/>
        <w:gridCol w:w="3119"/>
        <w:gridCol w:w="3259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14:ligatures w14:val="none"/>
              </w:rPr>
              <w:t xml:space="preserve">Характерные черты науки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14:ligatures w14:val="none"/>
              </w:rPr>
              <w:t xml:space="preserve">Для философии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(да/нет +обоснование)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14:ligatures w14:val="none"/>
              </w:rPr>
              <w:t xml:space="preserve">Для религии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да/нет +обоснование)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Универсальность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 сообщает знания, истинные для всего универсума при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тех условиях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, при которых они добыты человеком. Научные законы действуют во всей Вселенной.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Фрагментарность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 изучает не бытие в целом, а различные фрагменты реальности или ее параметры; сама же делится на отдельные дисциплины.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Общезначимость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 научные знания пригодны для всех людей; язык науки однозначно фиксирует термины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Безличность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 ни индивидуальные особенности ученого, ни его национальность или место проживания никак не представлены в конечных результатах научного познания.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Систематичность - наука имеет определенную структуру, а не является бессвязным набором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частей.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Незавершенность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 хотя научное знание безгранично растет, оно не может достичь абсолютной истины.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Преемственность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 новые знания определенным образом и по определенным правилам соотносятся со старыми знаниями.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Критичность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 готовность поставить под сомнение и пересмотреть свои даже основополагающие результаты.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Достоверность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 научные выводы требуют, допускают и проходят проверку по определенным сформулированным правилам.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Внеморальность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 научные истины нейтральны в морально-этическом плане, а нравственные оценки могут относиться либо к деятельности по получению знания, либо к деятельности по его применению.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Рациональность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 получение знаний на основе рациональных процедур.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Чувственность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 научные результаты требуют эмпирической проверки с использованием восприятия и только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t xml:space="preserve">после этого признаются достоверными.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pPr>
        <w:ind w:right="480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48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t xml:space="preserve">4.2. Письменное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t xml:space="preserve"> задание №2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right="48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Проанализир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уйте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содержание фрагментов текста в письменном виде.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1. «На первых страницах нашей книги мы с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равнивали роль исследователя с ролью детектива, который, собрав необходимые факты, находит правильное решение посредством чистого мышления… Для детектива факт преступления и задача формулируется так: кто убил Кука Робина? Ученый должен, по крайней мере, от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части сам совершить преступление, затем довести до конца исследование. Более того, его задача состоит в том, чтобы объяснить не один только данный случай, а все связанные с ним явления, которые происходили и могут еще произойти» (А. Эйнштейн, Л. Инфельд).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Ответьте на вопросы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1) В каком смысле можно уподобить ученого детективу?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2) В каком смысле ученый сам должен «совершить преступление»?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3) Какой логический метод используют и детектив, и ученый-теоретик? Обоснуйте.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4) Чем «расследование» ученого все же отличается от расследования детектива?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2. «Объективность» познания в области социальных наук характеризуется тем, что эмпирически данное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всегда соотносится с ценностными идеями, только и создающими познавательную ценность указанных наук, позволяющими понять значимость этого познания, но не способными служить доказательством их значимости, которое не может быть дано эмпирически» (М. Вебер).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Ответьте на вопросы: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Можно ли назвать гуманитарное знание «объективным»?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2) Почему познавательная ценность гуманитарного знания всегда соотносится с ценностными идеями, чего нет в естественных науках?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3) Почему нет возможности подкрепить гуманитарное знание эмпирически?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4) Создатель теории относительности А. Эйнштейн писал, что Достоевский дал ему больше, чем Гаусс (выдающийся немецкий математик). В то же время известны споры «физиков и лириков» о том, что важнее — естественнонаучная или гуманитарная культура.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3. Здесь приводятся фрагменты текстов австрийских философов Л. Витгенштейна и К. Поппера, в которых они обосновывают значение общих подходов — логики и метода проб и ошибок — в любом познании.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  <w:t xml:space="preserve">«Логике присуща особая глубина — универсальное значение. Представляется, что она лежит в основе всех наук. Ибо логическое исследование выявляет природу всех предметов. Оно призвано проникать в основания вещей, а не заботиться о тех ил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и иных фактических событиях. Логика вырастает не из интереса к тому, что происходит в природе, не из потребности постичь причинные связи, а из стремления понять фундамент или сущность всего, что дано в опыте. А для этого не надо устремляться на поиски новы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х фактов; напротив, для нашего исследования существенно то, что мы стремимся узнать с их помощью что-то новое. Мы хотим понять нечто такое, что уже открыто нашему взору. Ибо нам кажется, что как раз этого мы в каком-то смысле не понимаем» (Л. Витгенштейн).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2055" w:right="480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right="48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t xml:space="preserve">4.3. Письменное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t xml:space="preserve"> задание №3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Какие ответы на данные вопросы предлагает кажды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из этапов философии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науки (кратко заполните таблицу)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tbl>
      <w:tblPr>
        <w:tblW w:w="0" w:type="auto"/>
        <w:tblInd w:w="-14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1704"/>
        <w:gridCol w:w="1935"/>
        <w:gridCol w:w="2250"/>
        <w:gridCol w:w="219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2376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  <w14:ligatures w14:val="none"/>
              </w:rPr>
              <w:t xml:space="preserve">Направления философии науки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1704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  <w:t xml:space="preserve">Основные философы-создатели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  <w:t xml:space="preserve">(1 балл за каждый ответ)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1935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  <w:t xml:space="preserve">Зачем науке нужна философия?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  <w:t xml:space="preserve">(1 балл за каждый ответ)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2250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  <w:t xml:space="preserve">Предлагаемые методологические решения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  <w:t xml:space="preserve">(2 балла за каждый ответ)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  <w:t xml:space="preserve">Что дали науке?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  <w:t xml:space="preserve">(1 балл за каждый ответ)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23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Позитивизм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1704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1935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2250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23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Неопозитивизм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1704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1935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2250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23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Постпозитивизм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1704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1935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2250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23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Эволюционная эпистемология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1704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1935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2250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top"/>
            <w:textDirection w:val="lrTb"/>
            <w:noWrap w:val="false"/>
          </w:tcPr>
          <w:p>
            <w:pPr>
              <w:ind w:firstLine="851"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firstLine="851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1" w:bottom="1134" w:left="851" w:header="709" w:footer="709" w:gutter="0"/>
      <w:pgNumType w:start="5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50060065"/>
      <w:docPartObj>
        <w:docPartGallery w:val="Page Numbers (Bottom of Page)"/>
        <w:docPartUnique w:val="true"/>
      </w:docPartObj>
      <w:rPr/>
    </w:sdtPr>
    <w:sdtContent>
      <w:p>
        <w:pPr>
          <w:pStyle w:val="88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91"/>
      <w:spacing w:line="14" w:lineRule="auto"/>
      <w:rPr>
        <w:sz w:val="19"/>
      </w:rPr>
    </w:pPr>
    <w:r>
      <w:rPr>
        <w:sz w:val="19"/>
      </w:rPr>
    </w:r>
    <w:r>
      <w:rPr>
        <w:sz w:val="19"/>
      </w:rPr>
    </w:r>
    <w:r>
      <w:rPr>
        <w:sz w:val="19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55" w:hanging="245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99" w:hanging="42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2516" w:hanging="423"/>
        <w:jc w:val="right"/>
      </w:pPr>
      <w:rPr>
        <w:rFonts w:hint="default" w:ascii="Times New Roman" w:hAnsi="Times New Roman" w:eastAsia="Times New Roman" w:cs="Times New Roman"/>
        <w:spacing w:val="-10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20" w:hanging="42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78" w:hanging="42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07" w:hanging="42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36" w:hanging="42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65" w:hanging="42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78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5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32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9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6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3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1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8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2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5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32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9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6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3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1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8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2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8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35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42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9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4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71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595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8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35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42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9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4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71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595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55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327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99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71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43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15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87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9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311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55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327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99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71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43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15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87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9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311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5"/>
    <w:next w:val="885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6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5"/>
    <w:next w:val="885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6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6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6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6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6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6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6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5"/>
    <w:next w:val="88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6"/>
    <w:link w:val="729"/>
    <w:uiPriority w:val="10"/>
    <w:rPr>
      <w:sz w:val="48"/>
      <w:szCs w:val="48"/>
    </w:rPr>
  </w:style>
  <w:style w:type="paragraph" w:styleId="731">
    <w:name w:val="Subtitle"/>
    <w:basedOn w:val="885"/>
    <w:next w:val="88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6"/>
    <w:link w:val="731"/>
    <w:uiPriority w:val="11"/>
    <w:rPr>
      <w:sz w:val="24"/>
      <w:szCs w:val="24"/>
    </w:rPr>
  </w:style>
  <w:style w:type="paragraph" w:styleId="733">
    <w:name w:val="Quote"/>
    <w:basedOn w:val="885"/>
    <w:next w:val="885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5"/>
    <w:next w:val="885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6"/>
    <w:link w:val="893"/>
    <w:uiPriority w:val="99"/>
  </w:style>
  <w:style w:type="character" w:styleId="738">
    <w:name w:val="Footer Char"/>
    <w:basedOn w:val="886"/>
    <w:link w:val="889"/>
    <w:uiPriority w:val="99"/>
  </w:style>
  <w:style w:type="paragraph" w:styleId="739">
    <w:name w:val="Caption"/>
    <w:basedOn w:val="885"/>
    <w:next w:val="8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889"/>
    <w:uiPriority w:val="99"/>
  </w:style>
  <w:style w:type="table" w:styleId="741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41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5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8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2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5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9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6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6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>
    <w:name w:val="Footer"/>
    <w:basedOn w:val="885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886"/>
    <w:link w:val="889"/>
    <w:uiPriority w:val="99"/>
  </w:style>
  <w:style w:type="paragraph" w:styleId="891">
    <w:name w:val="Body Text"/>
    <w:basedOn w:val="885"/>
    <w:link w:val="892"/>
    <w:uiPriority w:val="99"/>
    <w:semiHidden/>
    <w:unhideWhenUsed/>
    <w:pPr>
      <w:spacing w:after="120"/>
    </w:pPr>
  </w:style>
  <w:style w:type="character" w:styleId="892" w:customStyle="1">
    <w:name w:val="Основной текст Знак"/>
    <w:basedOn w:val="886"/>
    <w:link w:val="891"/>
    <w:uiPriority w:val="99"/>
    <w:semiHidden/>
  </w:style>
  <w:style w:type="paragraph" w:styleId="893">
    <w:name w:val="Header"/>
    <w:basedOn w:val="885"/>
    <w:link w:val="8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886"/>
    <w:link w:val="893"/>
    <w:uiPriority w:val="99"/>
  </w:style>
  <w:style w:type="paragraph" w:styleId="895">
    <w:name w:val="List Paragraph"/>
    <w:basedOn w:val="885"/>
    <w:uiPriority w:val="34"/>
    <w:qFormat/>
    <w:pPr>
      <w:contextualSpacing/>
      <w:ind w:left="720"/>
    </w:pPr>
  </w:style>
  <w:style w:type="paragraph" w:styleId="896" w:customStyle="1">
    <w:name w:val="docdata"/>
    <w:basedOn w:val="8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897">
    <w:name w:val="Normal (Web)"/>
    <w:basedOn w:val="88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V</dc:creator>
  <cp:revision>11</cp:revision>
  <dcterms:created xsi:type="dcterms:W3CDTF">2023-12-25T09:59:00Z</dcterms:created>
  <dcterms:modified xsi:type="dcterms:W3CDTF">2025-12-17T14:05:58Z</dcterms:modified>
</cp:coreProperties>
</file>