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rPr>
          <w:rFonts w:ascii="Tahoma" w:hAnsi="Tahoma" w:cs="Tahoma"/>
          <w:sz w:val="8"/>
          <w:szCs w:val="8"/>
          <w:lang w:bidi="ar-SA"/>
        </w:rPr>
      </w:pP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ГОСУДАРСТВА И ПРАВА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2024 г.</w:t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Максимова О.Д., доктор юридических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</w:rPr>
        <w:t xml:space="preserve">Коленькова</w:t>
      </w:r>
      <w:r>
        <w:rPr>
          <w:sz w:val="24"/>
          <w:szCs w:val="24"/>
        </w:rPr>
        <w:t xml:space="preserve"> М.А.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Романова В.В., 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r>
        <w:rPr>
          <w:sz w:val="24"/>
          <w:szCs w:val="24"/>
        </w:rPr>
        <w:t xml:space="preserve">В.А.Мусина</w:t>
      </w:r>
      <w:r>
        <w:rPr>
          <w:sz w:val="24"/>
          <w:szCs w:val="24"/>
        </w:rPr>
        <w:t xml:space="preserve">», оформление, 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1"/>
        <w:ind w:left="30"/>
        <w:jc w:val="center"/>
        <w:spacing w:before="90"/>
      </w:pPr>
      <w:r/>
      <w:r/>
    </w:p>
    <w:sdt>
      <w:sdtPr>
        <w15:appearance w15:val="boundingBox"/>
        <w:id w:val="444578426"/>
        <w:docPartObj>
          <w:docPartGallery w:val="Table of Contents"/>
          <w:docPartUnique w:val="true"/>
        </w:docPartObj>
        <w:rPr>
          <w:sz w:val="28"/>
          <w:szCs w:val="28"/>
        </w:rPr>
      </w:sdtPr>
      <w:sdtContent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tooltip="#_Toc3260" w:anchor="_Toc3260" w:history="1">
            <w:r>
              <w:rPr>
                <w:bCs/>
                <w:szCs w:val="28"/>
              </w:rPr>
              <w:t xml:space="preserve">1. </w:t>
            </w:r>
            <w:r>
              <w:t xml:space="preserve">ЦЕЛЬ И ЗАДАЧИ </w:t>
            </w:r>
            <w:r>
              <w:rPr>
                <w:spacing w:val="-3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_Toc3260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3714" w:anchor="_Toc13714" w:history="1">
            <w:r>
              <w:rPr>
                <w:bCs/>
                <w:szCs w:val="28"/>
              </w:rPr>
              <w:t xml:space="preserve">2. </w:t>
            </w:r>
            <w:r>
              <w:rPr>
                <w:szCs w:val="28"/>
              </w:rPr>
              <w:t xml:space="preserve">МЕСТО ДИСЦИПЛИНЫ В СТРУКТУРЕ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ОБРАЗОВАТЕЛЬНОЙ ПРОГРАММЫ</w:t>
            </w:r>
            <w:r>
              <w:tab/>
            </w:r>
            <w:r>
              <w:fldChar w:fldCharType="begin"/>
            </w:r>
            <w:r>
              <w:instrText xml:space="preserve"> PAGEREF _Toc13714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9393" w:anchor="_Toc19393" w:history="1">
            <w:r>
              <w:rPr>
                <w:bCs/>
                <w:szCs w:val="28"/>
              </w:rPr>
              <w:t xml:space="preserve">3. </w:t>
            </w:r>
            <w:r>
              <w:t xml:space="preserve">ПЛАНИРУЕМЫЕ РЕЗУЛЬТАТЫ ОСВОЕНИЯ ДИСЦИПЛИНЫ</w:t>
            </w:r>
            <w:r>
              <w:tab/>
            </w:r>
            <w:r>
              <w:fldChar w:fldCharType="begin"/>
            </w:r>
            <w:r>
              <w:instrText xml:space="preserve"> PAGEREF _Toc19393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5954" w:anchor="_Toc15954" w:history="1">
            <w:r>
              <w:rPr>
                <w:bCs/>
                <w:szCs w:val="28"/>
              </w:rPr>
              <w:t xml:space="preserve">4. </w:t>
            </w:r>
            <w:r>
              <w:rPr>
                <w:szCs w:val="28"/>
              </w:rPr>
              <w:t xml:space="preserve">ОБЪЕМ И СТРУКТУРА ДИСЦИПЛИНЫ</w:t>
            </w:r>
            <w:r>
              <w:tab/>
            </w:r>
            <w:r>
              <w:fldChar w:fldCharType="begin"/>
            </w:r>
            <w:r>
              <w:instrText xml:space="preserve"> PAGEREF _Toc15954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20912" w:anchor="_Toc20912" w:history="1">
            <w:r>
              <w:rPr>
                <w:bCs/>
                <w:szCs w:val="28"/>
              </w:rPr>
              <w:t xml:space="preserve">5. </w:t>
            </w:r>
            <w:r>
              <w:rPr>
                <w:szCs w:val="28"/>
              </w:rPr>
              <w:t xml:space="preserve">СОДЕРЖАНИЕ РАЗДЕЛОВ И ТЕМ ДИСЦИПЛИНЫ</w:t>
            </w:r>
            <w:r>
              <w:tab/>
            </w:r>
            <w:r>
              <w:fldChar w:fldCharType="begin"/>
            </w:r>
            <w:r>
              <w:instrText xml:space="preserve"> PAGEREF _Toc20912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30485" w:anchor="_Toc30485" w:history="1">
            <w:r>
              <w:rPr>
                <w:bCs/>
                <w:szCs w:val="28"/>
              </w:rPr>
              <w:t xml:space="preserve">6. </w:t>
            </w:r>
            <w:r>
              <w:rPr>
                <w:szCs w:val="28"/>
              </w:rPr>
              <w:t xml:space="preserve">ЗАНЯТИЯ СЕМИНАРСКОГО ТИПА</w:t>
            </w:r>
            <w:r>
              <w:tab/>
            </w:r>
            <w:r>
              <w:fldChar w:fldCharType="begin"/>
            </w:r>
            <w:r>
              <w:instrText xml:space="preserve"> PAGEREF _Toc30485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8010" w:anchor="_Toc18010" w:history="1">
            <w:r>
              <w:rPr>
                <w:bCs/>
                <w:szCs w:val="28"/>
              </w:rPr>
              <w:t xml:space="preserve">7. </w:t>
            </w:r>
            <w:r>
              <w:rPr>
                <w:szCs w:val="28"/>
              </w:rPr>
              <w:t xml:space="preserve">МЕТОДИЧЕСКИЕ УКАЗАНИЯ ДЛЯ ОБУЧАЮЩИХСЯ</w:t>
            </w:r>
            <w:r>
              <w:tab/>
            </w:r>
            <w:r>
              <w:fldChar w:fldCharType="begin"/>
            </w:r>
            <w:r>
              <w:instrText xml:space="preserve"> PAGEREF _Toc18010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16479" w:anchor="_Toc16479" w:history="1">
            <w:r>
              <w:rPr>
                <w:bCs/>
                <w:szCs w:val="28"/>
              </w:rPr>
              <w:t xml:space="preserve">7.1. </w:t>
            </w:r>
            <w:r>
              <w:rPr>
                <w:szCs w:val="28"/>
              </w:rPr>
              <w:t xml:space="preserve">Методические указания для обучающегося по освоению</w:t>
            </w:r>
            <w:r>
              <w:rPr>
                <w:spacing w:val="-1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_Toc16479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26691" w:anchor="_Toc26691" w:history="1">
            <w:r>
              <w:rPr>
                <w:bCs/>
                <w:szCs w:val="28"/>
              </w:rPr>
              <w:t xml:space="preserve">7.2. </w:t>
            </w:r>
            <w:r>
              <w:rPr>
                <w:szCs w:val="28"/>
              </w:rPr>
              <w:t xml:space="preserve">Организация самостоятельной работы</w:t>
            </w:r>
            <w:r>
              <w:tab/>
            </w:r>
            <w:r>
              <w:fldChar w:fldCharType="begin"/>
            </w:r>
            <w:r>
              <w:instrText xml:space="preserve"> PAGEREF _Toc26691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648" w:anchor="_Toc1648" w:history="1">
            <w:r>
              <w:rPr>
                <w:bCs/>
                <w:szCs w:val="28"/>
              </w:rPr>
              <w:t xml:space="preserve">8. </w:t>
            </w:r>
            <w:r>
              <w:rPr>
                <w:szCs w:val="28"/>
              </w:rPr>
              <w:t xml:space="preserve">ОБРАЗОВАТЕЛЬНЫЕ ТЕХНОЛОГИИ</w:t>
            </w:r>
            <w:r>
              <w:tab/>
            </w:r>
            <w:r>
              <w:fldChar w:fldCharType="begin"/>
            </w:r>
            <w:r>
              <w:instrText xml:space="preserve"> PAGEREF _Toc1648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9038" w:anchor="_Toc9038" w:history="1">
            <w:r>
              <w:rPr>
                <w:bCs/>
                <w:szCs w:val="24"/>
              </w:rPr>
              <w:t xml:space="preserve">9.1. </w:t>
            </w:r>
            <w:r>
              <w:rPr>
                <w:szCs w:val="28"/>
              </w:rPr>
              <w:t xml:space="preserve">Учебно-методическое и информационное обеспечение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_Toc9038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1673" w:anchor="_Toc31673" w:history="1">
            <w:r>
              <w:rPr>
                <w:bCs/>
                <w:szCs w:val="28"/>
                <w:lang w:bidi="ar-SA"/>
              </w:rPr>
              <w:t xml:space="preserve">9.2. Материально-техническое обеспечение учебного процесса</w:t>
            </w:r>
            <w:r>
              <w:tab/>
            </w:r>
            <w:r>
              <w:fldChar w:fldCharType="begin"/>
            </w:r>
            <w:r>
              <w:instrText xml:space="preserve"> PAGEREF _Toc31673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26070" w:anchor="_Toc26070" w:history="1">
            <w:r>
              <w:rPr>
                <w:bCs/>
                <w:szCs w:val="28"/>
              </w:rPr>
              <w:t xml:space="preserve">10. </w:t>
            </w:r>
            <w:r>
              <w:rPr>
                <w:bCs/>
                <w:szCs w:val="28"/>
                <w:lang w:bidi="ar-SA"/>
              </w:rPr>
              <w:t xml:space="preserve">ОСОБЕННОСТИ ОСВОЕНИЯ ДИСЦИПЛИНЫ ДЛЯ ИНВАЛИДОВ И ЛИЦ С ОГРАНИЧЕННЫМИ ВОЗМОЖНОСТЯМИ ЗДОРОВЬЯ</w:t>
            </w:r>
            <w:r>
              <w:tab/>
            </w:r>
            <w:r>
              <w:fldChar w:fldCharType="begin"/>
            </w:r>
            <w:r>
              <w:instrText xml:space="preserve"> PAGEREF _Toc26070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087" w:anchor="_Toc3087" w:history="1">
            <w:r>
              <w:rPr>
                <w:bCs/>
                <w:szCs w:val="28"/>
              </w:rPr>
              <w:t xml:space="preserve">11. </w:t>
            </w:r>
            <w:r>
              <w:rPr>
                <w:szCs w:val="28"/>
                <w:lang w:bidi="ar-SA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tab/>
            </w:r>
            <w:r>
              <w:fldChar w:fldCharType="begin"/>
            </w:r>
            <w:r>
              <w:instrText xml:space="preserve"> PAGEREF _Toc3087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rPr>
              <w:sz w:val="28"/>
              <w:szCs w:val="28"/>
            </w:rPr>
          </w:pPr>
          <w:r>
            <w:rPr>
              <w:szCs w:val="28"/>
            </w:rPr>
            <w:fldChar w:fldCharType="end"/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sdtContent>
    </w:sdt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41"/>
        <w:numPr>
          <w:ilvl w:val="0"/>
          <w:numId w:val="1"/>
        </w:numPr>
        <w:ind w:left="0" w:firstLine="0"/>
        <w:jc w:val="center"/>
        <w:pageBreakBefore/>
        <w:tabs>
          <w:tab w:val="left" w:pos="426" w:leader="none"/>
        </w:tabs>
      </w:pPr>
      <w:r/>
      <w:bookmarkStart w:id="1" w:name="_Toc3260"/>
      <w:r>
        <w:t xml:space="preserve">ЦЕЛЬ И ЗАДАЧИ </w:t>
      </w:r>
      <w:r>
        <w:rPr>
          <w:spacing w:val="-3"/>
        </w:rPr>
        <w:t xml:space="preserve">ДИСЦИПЛИНЫ</w:t>
      </w:r>
      <w:bookmarkEnd w:id="1"/>
      <w:r/>
      <w:r/>
    </w:p>
    <w:p>
      <w:pPr>
        <w:pStyle w:val="934"/>
        <w:ind w:left="709"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284" w:firstLine="720"/>
        <w:spacing w:line="240" w:lineRule="auto"/>
        <w:widowControl/>
        <w:rPr>
          <w:rStyle w:val="929"/>
          <w:b w:val="0"/>
          <w:sz w:val="28"/>
          <w:szCs w:val="28"/>
        </w:rPr>
      </w:pPr>
      <w:r>
        <w:rPr>
          <w:rStyle w:val="929"/>
          <w:b w:val="0"/>
          <w:bCs w:val="0"/>
          <w:sz w:val="28"/>
          <w:szCs w:val="28"/>
        </w:rPr>
        <w:t xml:space="preserve">- с</w:t>
      </w:r>
      <w:r>
        <w:rPr>
          <w:sz w:val="28"/>
          <w:szCs w:val="28"/>
        </w:rPr>
        <w:t xml:space="preserve">овер</w:t>
      </w:r>
      <w:r>
        <w:rPr>
          <w:sz w:val="28"/>
          <w:szCs w:val="28"/>
        </w:rPr>
        <w:t xml:space="preserve">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  <w:r>
        <w:rPr>
          <w:rStyle w:val="929"/>
          <w:b w:val="0"/>
          <w:sz w:val="28"/>
          <w:szCs w:val="28"/>
        </w:rPr>
      </w:r>
      <w:r>
        <w:rPr>
          <w:rStyle w:val="929"/>
          <w:b w:val="0"/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 </w:t>
      </w:r>
      <w:r>
        <w:rPr>
          <w:rStyle w:val="929"/>
          <w:b w:val="0"/>
          <w:bCs w:val="0"/>
          <w:sz w:val="28"/>
          <w:szCs w:val="28"/>
        </w:rPr>
        <w:t xml:space="preserve">углубление знаний</w:t>
      </w:r>
      <w:r>
        <w:rPr>
          <w:rStyle w:val="929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rStyle w:val="929"/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совершенствование умений и навыков в применении норм права в фактических ситуациях</w:t>
      </w:r>
      <w:r>
        <w:rPr>
          <w:rStyle w:val="929"/>
          <w:sz w:val="28"/>
          <w:szCs w:val="28"/>
        </w:rPr>
      </w:r>
      <w:r>
        <w:rPr>
          <w:rStyle w:val="929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2" w:name="_Toc13714"/>
      <w:r>
        <w:rPr>
          <w:b/>
          <w:sz w:val="28"/>
          <w:szCs w:val="28"/>
        </w:rPr>
        <w:t xml:space="preserve">МЕСТО ДИСЦИПЛИНЫ В СТРУКТУРЕ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ОБРАЗОВАТЕЛЬНОЙ ПРОГРАММЫ</w:t>
      </w:r>
      <w:bookmarkEnd w:id="2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</w:pPr>
      <w:r/>
      <w:r/>
    </w:p>
    <w:p>
      <w:pPr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государства и права» относится к части образовательного компонента образовательной программы, </w:t>
      </w:r>
      <w:r>
        <w:rPr>
          <w:sz w:val="28"/>
          <w:szCs w:val="28"/>
          <w:shd w:val="clear" w:color="auto" w:fill="ffffff"/>
        </w:rPr>
        <w:t xml:space="preserve">является обязательной для </w:t>
      </w:r>
      <w:r>
        <w:rPr>
          <w:rFonts w:eastAsia="Calibri"/>
          <w:sz w:val="28"/>
          <w:szCs w:val="28"/>
        </w:rPr>
        <w:t xml:space="preserve">освоения обучающимся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left="567"/>
        <w:spacing w:before="6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3" w:name="_Toc19393"/>
      <w:r>
        <w:rPr>
          <w:b/>
          <w:sz w:val="28"/>
        </w:rPr>
        <w:t xml:space="preserve">ПЛАНИРУЕМЫЕ РЕЗУЛЬТАТЫ ОСВОЕНИЯ ДИСЦИПЛИНЫ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4"/>
      </w:pPr>
      <w:r/>
      <w:r/>
    </w:p>
    <w:p>
      <w:pPr>
        <w:pStyle w:val="764"/>
        <w:ind w:firstLine="709"/>
        <w:jc w:val="both"/>
        <w:spacing w:before="4"/>
      </w:pPr>
      <w:r>
        <w:t xml:space="preserve">В результате освоения дисциплины обучающийся должен:</w:t>
      </w:r>
      <w:r/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систему научных методов, которые можно применить в планируемом собственном исследовании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ind w:left="0" w:firstLine="0"/>
        <w:tabs>
          <w:tab w:val="left" w:pos="709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709" w:leader="none"/>
        </w:tabs>
        <w:rPr>
          <w:b/>
          <w:sz w:val="28"/>
          <w:szCs w:val="28"/>
        </w:rPr>
        <w:outlineLvl w:val="0"/>
      </w:pPr>
      <w:r/>
      <w:bookmarkStart w:id="4" w:name="_Toc15954"/>
      <w:r>
        <w:rPr>
          <w:b/>
          <w:sz w:val="28"/>
          <w:szCs w:val="28"/>
        </w:rPr>
        <w:t xml:space="preserve">ОБЪЕМ И СТРУКТУРА ДИСЦИПЛИНЫ</w:t>
      </w:r>
      <w:bookmarkEnd w:id="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Трудоемкость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7"/>
        </w:rPr>
        <w:t xml:space="preserve"> </w:t>
      </w:r>
      <w:r>
        <w:t xml:space="preserve">составляет 2 зачетные единицы,</w:t>
      </w:r>
      <w:r>
        <w:rPr>
          <w:spacing w:val="5"/>
        </w:rPr>
        <w:t xml:space="preserve"> 72 ч</w:t>
      </w:r>
      <w:r>
        <w:t xml:space="preserve">аса, из которых </w:t>
      </w:r>
      <w:r>
        <w:t xml:space="preserve">36</w:t>
      </w:r>
      <w:r>
        <w:t xml:space="preserve"> час</w:t>
      </w:r>
      <w:r>
        <w:t xml:space="preserve">ов</w:t>
      </w:r>
      <w:r>
        <w:t xml:space="preserve"> отводится для промежуточной аттестации.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Форма промежуточной аттестации: экзамен – 1 год обучения. 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  <w:t xml:space="preserve">Распределение фонда времени по темам дисциплины по очной форме представлено в таблице 4.1.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left="442"/>
        <w:spacing w:before="93" w:line="360" w:lineRule="auto"/>
      </w:pPr>
      <w:r>
        <w:t xml:space="preserve">Таблица 4.1 – Распределение фонда времени по темам дисциплины</w:t>
      </w:r>
      <w:r/>
    </w:p>
    <w:tbl>
      <w:tblPr>
        <w:tblStyle w:val="922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1079"/>
        <w:gridCol w:w="1178"/>
        <w:gridCol w:w="1199"/>
        <w:gridCol w:w="1195"/>
      </w:tblGrid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Номер</w:t>
            </w:r>
            <w:r>
              <w:rPr>
                <w:sz w:val="24"/>
                <w:szCs w:val="24"/>
                <w:lang w:val="en-US" w:eastAsia="en-US"/>
              </w:rPr>
              <w:t xml:space="preserve"> и </w:t>
            </w:r>
            <w:r>
              <w:rPr>
                <w:sz w:val="24"/>
                <w:szCs w:val="24"/>
                <w:lang w:val="en-US" w:eastAsia="en-US"/>
              </w:rPr>
              <w:t xml:space="preserve">наименование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тем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24"/>
              <w:ind w:left="714" w:right="713"/>
              <w:jc w:val="center"/>
              <w:spacing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Объем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дисциплины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  <w:p>
            <w:pPr>
              <w:pStyle w:val="924"/>
              <w:ind w:left="713" w:right="713"/>
              <w:jc w:val="center"/>
              <w:spacing w:line="264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(</w:t>
            </w:r>
            <w:r>
              <w:rPr>
                <w:sz w:val="24"/>
                <w:szCs w:val="24"/>
                <w:lang w:val="en-US" w:eastAsia="en-US"/>
              </w:rPr>
              <w:t xml:space="preserve">ак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часы</w:t>
            </w:r>
            <w:r>
              <w:rPr>
                <w:sz w:val="24"/>
                <w:szCs w:val="24"/>
                <w:lang w:val="en-US" w:eastAsia="en-US"/>
              </w:rPr>
              <w:t xml:space="preserve">)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Контактная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работа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924"/>
              <w:ind w:left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СРО и часы на контроль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ЗЛТ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ind w:left="283" w:right="280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val="en-US" w:eastAsia="en-US"/>
              </w:rPr>
              <w:t xml:space="preserve">З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9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4"/>
              <w:ind w:left="1"/>
              <w:jc w:val="center"/>
              <w:spacing w:before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142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1. Предмет и методы теории государства и права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2. Понятие, сущность и социальное назначение государства.  Функции 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3. Типология и механизм государств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4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Форма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7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источников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11. Правосознание и правовая культура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13. Правовая система и правовая семья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textDirection w:val="lrTb"/>
            <w:noWrap w:val="false"/>
          </w:tcPr>
          <w:p>
            <w:pPr>
              <w:pStyle w:val="924"/>
              <w:ind w:left="107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по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дисциплине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62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ind w:right="405"/>
        <w:rPr>
          <w:sz w:val="24"/>
          <w:szCs w:val="24"/>
        </w:rPr>
      </w:pPr>
      <w:r>
        <w:rPr>
          <w:sz w:val="24"/>
          <w:szCs w:val="24"/>
        </w:rP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64"/>
        <w:spacing w:before="11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5" w:name="_Toc20912"/>
      <w:r>
        <w:rPr>
          <w:b/>
          <w:sz w:val="28"/>
          <w:szCs w:val="28"/>
        </w:rPr>
        <w:t xml:space="preserve">СОДЕРЖАНИЕ РАЗДЕЛОВ И ТЕМ ДИСЦИПЛИНЫ</w:t>
      </w:r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1. Предмет и методы теории государства и права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</w:t>
      </w:r>
      <w:r>
        <w:rPr>
          <w:sz w:val="28"/>
          <w:szCs w:val="28"/>
        </w:rPr>
        <w:t xml:space="preserve">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</w:t>
      </w:r>
      <w:r>
        <w:rPr>
          <w:sz w:val="28"/>
          <w:szCs w:val="28"/>
        </w:rPr>
        <w:t xml:space="preserve">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государства и права. Дифференция предмета теории государства и права на современном этапе. Теория государства и теория права. </w:t>
      </w:r>
      <w:r>
        <w:rPr>
          <w:sz w:val="28"/>
          <w:szCs w:val="28"/>
        </w:rPr>
        <w:t xml:space="preserve">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методологии теории госуда</w:t>
      </w:r>
      <w:r>
        <w:rPr>
          <w:sz w:val="28"/>
          <w:szCs w:val="28"/>
        </w:rPr>
        <w:t xml:space="preserve">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2. Понятие, сущность и социальное назначение государства.  Функции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функциях государства. Основания классификации фун</w:t>
      </w:r>
      <w:r>
        <w:rPr>
          <w:sz w:val="28"/>
          <w:szCs w:val="28"/>
        </w:rPr>
        <w:t xml:space="preserve">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3. Типология и механизм государств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</w:t>
      </w:r>
      <w:r>
        <w:rPr>
          <w:sz w:val="28"/>
          <w:szCs w:val="28"/>
        </w:rPr>
        <w:t xml:space="preserve">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госуд</w:t>
      </w:r>
      <w:r>
        <w:rPr>
          <w:sz w:val="28"/>
          <w:szCs w:val="28"/>
        </w:rPr>
        <w:t xml:space="preserve">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</w:t>
      </w:r>
      <w:r>
        <w:rPr>
          <w:sz w:val="28"/>
          <w:szCs w:val="28"/>
        </w:rPr>
        <w:t xml:space="preserve">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4. Форма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</w:t>
      </w:r>
      <w:r>
        <w:rPr>
          <w:sz w:val="28"/>
          <w:szCs w:val="28"/>
        </w:rPr>
        <w:t xml:space="preserve">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территориального устройства госуд</w:t>
      </w:r>
      <w:r>
        <w:rPr>
          <w:sz w:val="28"/>
          <w:szCs w:val="28"/>
        </w:rPr>
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политического режима. Признаки политического режима. Виды политических режимов сов</w:t>
      </w:r>
      <w:r>
        <w:rPr>
          <w:sz w:val="28"/>
          <w:szCs w:val="28"/>
        </w:rPr>
        <w:t xml:space="preserve">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элементов формы государства. Форма современного российского государства и возможные пути ее эволюции.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Понятие, сущность, принципы, функции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праве. Понятие о праве в узком и широком смысле.  Нормативность, формальная определенность, волевой характер права. Право в объективном и субъективном смысле. Понятие о естественном и позитивном праве.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как государственный регулятор общественных отношений. Классовое и общесоциальное в сущности права. Основные концепции правопонимания: естественно-правовая, теологическая, марксистская, </w:t>
      </w:r>
      <w:r>
        <w:rPr>
          <w:sz w:val="28"/>
          <w:szCs w:val="28"/>
        </w:rPr>
        <w:t xml:space="preserve">нормативистская</w:t>
      </w:r>
      <w:r>
        <w:rPr>
          <w:sz w:val="28"/>
          <w:szCs w:val="28"/>
        </w:rPr>
        <w:t xml:space="preserve"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Система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</w:t>
      </w:r>
      <w:r>
        <w:rPr>
          <w:sz w:val="28"/>
          <w:szCs w:val="28"/>
        </w:rPr>
        <w:t xml:space="preserve">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</w:t>
      </w:r>
      <w:r>
        <w:rPr>
          <w:sz w:val="28"/>
          <w:szCs w:val="28"/>
        </w:rPr>
        <w:t xml:space="preserve">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</w:t>
      </w:r>
      <w:r>
        <w:rPr>
          <w:sz w:val="28"/>
          <w:szCs w:val="28"/>
        </w:rPr>
        <w:t xml:space="preserve">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международного права как 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Система источников права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источниках права. Реальные (общие) источники: материальные</w:t>
      </w:r>
      <w:r>
        <w:rPr>
          <w:sz w:val="28"/>
          <w:szCs w:val="28"/>
        </w:rPr>
        <w:t xml:space="preserve">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законодательства в России. Конституция. Законы: понятие, признаки, виды. Подзак</w:t>
      </w:r>
      <w:r>
        <w:rPr>
          <w:sz w:val="28"/>
          <w:szCs w:val="28"/>
        </w:rPr>
        <w:t xml:space="preserve">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Правовое отношение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и структура правоотношения. </w:t>
      </w:r>
      <w:r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</w:t>
      </w:r>
      <w:r>
        <w:rPr>
          <w:sz w:val="28"/>
          <w:szCs w:val="28"/>
        </w:rPr>
        <w:t xml:space="preserve">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статусов человека и гражданина. Законные интересы.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правоотношений. </w:t>
      </w:r>
      <w:r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Толкование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</w:t>
      </w:r>
      <w:r>
        <w:rPr>
          <w:b/>
          <w:bCs/>
          <w:sz w:val="28"/>
          <w:szCs w:val="28"/>
        </w:rPr>
        <w:t xml:space="preserve">еализация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реализации права. Характерные черты форм реализации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права. Формы непосредственной реализации права: соблюдение, исполнение, использование.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права как особая форма реализации права.</w:t>
      </w:r>
      <w:r>
        <w:rPr>
          <w:sz w:val="28"/>
          <w:szCs w:val="28"/>
        </w:rPr>
        <w:br/>
        <w:t xml:space="preserve">Необходимость правоприменения. Стадии процесса применения норм</w:t>
      </w:r>
      <w:r>
        <w:rPr>
          <w:sz w:val="28"/>
          <w:szCs w:val="28"/>
        </w:rPr>
        <w:br/>
        <w:t xml:space="preserve">права. Акты применения права: понятие, особенности, виды. Отличие правоприменительных актов от нормативных.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Правомерное поведение, правонарушение, юридическая ответственность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правомерного поведения. Правовая активность личности. Стимулирование правомерных деяний.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ответственность: понятие и признаки. Цели и</w:t>
      </w:r>
      <w:r>
        <w:rPr>
          <w:sz w:val="28"/>
          <w:szCs w:val="28"/>
        </w:rPr>
        <w:br/>
        <w:t xml:space="preserve"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Правосознание и правовая культура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правосознании. Место и роль правосознания в системе форм общественного</w:t>
      </w:r>
      <w:r>
        <w:rPr>
          <w:sz w:val="28"/>
          <w:szCs w:val="28"/>
        </w:rPr>
        <w:t xml:space="preserve">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правовой культуры общества и личности. Знание и понимание права, уваже</w:t>
      </w:r>
      <w:r>
        <w:rPr>
          <w:sz w:val="28"/>
          <w:szCs w:val="28"/>
        </w:rPr>
        <w:t xml:space="preserve">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Правовое регулирование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стимулы и ограничения в механизме правового регулирования: </w:t>
      </w:r>
      <w:r>
        <w:rPr>
          <w:sz w:val="28"/>
          <w:szCs w:val="28"/>
        </w:rPr>
        <w:t xml:space="preserve">понятие, признаки, виды. Правовые поощрения: понятие, признаки, функции, виды. Соотношение поощре</w:t>
      </w:r>
      <w:r>
        <w:rPr>
          <w:sz w:val="28"/>
          <w:szCs w:val="28"/>
        </w:rPr>
        <w:t xml:space="preserve">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13. Правовая система и правовая семья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>
        <w:rPr>
          <w:rStyle w:val="926"/>
          <w:rFonts w:eastAsiaTheme="minorEastAsia"/>
          <w:b w:val="0"/>
          <w:bCs w:val="0"/>
        </w:rPr>
        <w:t xml:space="preserve">исторически сложившаяся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семья: понятие и признаки. </w:t>
      </w:r>
      <w:r>
        <w:rPr>
          <w:bCs/>
          <w:sz w:val="28"/>
          <w:szCs w:val="28"/>
        </w:rPr>
        <w:t xml:space="preserve">Правовая семья</w:t>
      </w:r>
      <w:r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</w:t>
      </w:r>
      <w:r>
        <w:rPr>
          <w:sz w:val="28"/>
          <w:szCs w:val="28"/>
        </w:rPr>
        <w:t xml:space="preserve">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0" w:leader="none"/>
          <w:tab w:val="left" w:pos="284" w:leader="none"/>
        </w:tabs>
        <w:rPr>
          <w:b/>
          <w:sz w:val="28"/>
          <w:szCs w:val="28"/>
        </w:rPr>
        <w:outlineLvl w:val="0"/>
      </w:pPr>
      <w:r/>
      <w:bookmarkStart w:id="7" w:name="_Toc30485"/>
      <w:r>
        <w:rPr>
          <w:b/>
          <w:sz w:val="28"/>
          <w:szCs w:val="28"/>
        </w:rPr>
        <w:t xml:space="preserve">ЗАНЯТИЯ СЕМИНАРСКОГО ТИПА</w:t>
      </w:r>
      <w:bookmarkEnd w:id="7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30"/>
          <w:sz w:val="28"/>
          <w:szCs w:val="28"/>
        </w:rPr>
        <w:t xml:space="preserve"> – Практические занятия / Семинарские занятия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941"/>
        <w:gridCol w:w="6365"/>
        <w:gridCol w:w="2361"/>
      </w:tblGrid>
      <w:tr>
        <w:tblPrEx/>
        <w:trPr>
          <w:trHeight w:val="597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 занятия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занятия / Оценочное средство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ind w:firstLine="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признаки механизма государства. Механизм государства и аппарат государства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Естественное и позитивное право.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Понятие об источниках права. Реальные (общие) источники: материальные и идеальные.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права. Система законодательства в России.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толковании норм права. Уяснение и разъяснение содержания правовых норм. Формы непосредственной реализации права.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ПЗ: Анализ конкретных ситуаций,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правосознании. Место и роль правосознания в системе форм общественного сознания.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основные элементы и стадии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926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исторически сложившаяся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организация права в отдельном государстве, включающая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 ПЗ – практические занятия, СЗ – семинарские занятия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8" w:name="_Toc18010"/>
      <w:r>
        <w:rPr>
          <w:b/>
          <w:sz w:val="28"/>
          <w:szCs w:val="28"/>
        </w:rPr>
        <w:t xml:space="preserve">МЕТОДИЧЕСКИЕ УКАЗАНИЯ ДЛЯ ОБУЧАЮЩИХСЯ</w:t>
      </w:r>
      <w:bookmarkEnd w:id="8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numPr>
          <w:ilvl w:val="1"/>
          <w:numId w:val="4"/>
        </w:numPr>
        <w:ind w:left="0" w:firstLine="709"/>
        <w:jc w:val="both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9" w:name="_Toc16479"/>
      <w:r>
        <w:rPr>
          <w:b/>
          <w:sz w:val="28"/>
          <w:szCs w:val="28"/>
        </w:rPr>
        <w:t xml:space="preserve">Методические указания для обучающегося по освоению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9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right="14" w:firstLine="709"/>
        <w:jc w:val="both"/>
      </w:pPr>
      <w:r/>
      <w:r/>
    </w:p>
    <w:p>
      <w:pPr>
        <w:pStyle w:val="923"/>
        <w:numPr>
          <w:ilvl w:val="1"/>
          <w:numId w:val="4"/>
        </w:numPr>
        <w:ind w:left="0" w:firstLine="709"/>
        <w:jc w:val="left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10" w:name="_Toc26691"/>
      <w:r>
        <w:rPr>
          <w:b/>
          <w:sz w:val="28"/>
          <w:szCs w:val="28"/>
        </w:rPr>
        <w:t xml:space="preserve">Организация самостоятельной работы</w:t>
      </w:r>
      <w:bookmarkEnd w:id="1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4" w:firstLine="707"/>
        <w:jc w:val="both"/>
        <w:spacing w:before="1"/>
        <w:tabs>
          <w:tab w:val="left" w:pos="10206" w:leader="none"/>
        </w:tabs>
      </w:pPr>
      <w:r>
        <w:t xml:space="preserve">Под с</w:t>
      </w:r>
      <w: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/>
    </w:p>
    <w:p>
      <w:pPr>
        <w:pStyle w:val="764"/>
        <w:ind w:right="14" w:firstLine="707"/>
        <w:jc w:val="both"/>
        <w:tabs>
          <w:tab w:val="left" w:pos="10206" w:leader="none"/>
        </w:tabs>
      </w:pPr>
      <w: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 xml:space="preserve">здоровья.</w:t>
      </w:r>
      <w:r/>
    </w:p>
    <w:p>
      <w:pPr>
        <w:ind w:firstLine="709"/>
        <w:spacing w:line="32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</w:t>
      </w:r>
      <w:r>
        <w:rPr>
          <w:color w:val="000000" w:themeColor="text1"/>
          <w:sz w:val="28"/>
          <w:szCs w:val="28"/>
        </w:rPr>
        <w:t xml:space="preserve">обеспечен методическими материалами,</w:t>
      </w:r>
      <w:r>
        <w:rPr>
          <w:sz w:val="28"/>
          <w:szCs w:val="28"/>
        </w:rPr>
        <w:t xml:space="preserve"> представлены в таблице 7.2.1.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Таблица 7.2.1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731"/>
        <w:gridCol w:w="8936"/>
      </w:tblGrid>
      <w:tr>
        <w:tblPrEx/>
        <w:trPr>
          <w:trHeight w:val="551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0"/>
              <w:jc w:val="center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24"/>
              <w:ind w:left="67" w:right="60"/>
              <w:jc w:val="center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722" w:right="2711"/>
              <w:jc w:val="center"/>
              <w:spacing w:before="1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самостоятельной работы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11"/>
              <w:jc w:val="center"/>
              <w:spacing w:before="6" w:line="25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67" w:right="56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практическим занятиям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докладов и презентаций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аналитических заданий (сравнительные таблицы)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3,5-7,9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тестированию по теме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64"/>
        <w:spacing w:before="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11" w:name="_Toc1648"/>
      <w:r>
        <w:rPr>
          <w:b/>
          <w:sz w:val="28"/>
          <w:szCs w:val="28"/>
        </w:rPr>
        <w:t xml:space="preserve">ОБРАЗОВАТЕЛЬНЫЕ ТЕХНОЛОГИИ</w:t>
      </w:r>
      <w:bookmarkEnd w:id="11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t xml:space="preserve">В рамках реализации дисциплины «Теория государства и права» используются разнообразные образовательные технологии как традиционные, так и </w:t>
      </w:r>
      <w:r>
        <w:rPr>
          <w:color w:val="000000" w:themeColor="text1"/>
        </w:rPr>
        <w:t xml:space="preserve">с применением активных и интерактивных методов обучения.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Активные и интерактивные методы обучения: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Педагогические игровые упражнения </w:t>
      </w:r>
      <w:r>
        <w:rPr>
          <w:color w:val="000000" w:themeColor="text1"/>
          <w:sz w:val="28"/>
          <w:szCs w:val="28"/>
        </w:rPr>
        <w:t xml:space="preserve">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4, 10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конкретных ситуаций 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10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2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 xml:space="preserve">Анализ конкретных ситуаций</w:t>
      </w:r>
      <w:r>
        <w:rPr>
          <w:spacing w:val="4"/>
          <w:sz w:val="28"/>
          <w:szCs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1"/>
          <w:numId w:val="7"/>
        </w:numPr>
        <w:ind w:left="0" w:firstLine="0"/>
        <w:jc w:val="center"/>
        <w:spacing w:before="264"/>
        <w:tabs>
          <w:tab w:val="left" w:pos="709" w:leader="none"/>
        </w:tabs>
        <w:rPr>
          <w:sz w:val="28"/>
          <w:szCs w:val="28"/>
        </w:rPr>
        <w:outlineLvl w:val="1"/>
      </w:pPr>
      <w:r/>
      <w:bookmarkStart w:id="12" w:name="_Toc9038"/>
      <w:r>
        <w:rPr>
          <w:b/>
          <w:sz w:val="28"/>
          <w:szCs w:val="28"/>
        </w:rPr>
        <w:t xml:space="preserve">Учебно-методическое и информационное обеспечение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1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spacing w:before="1"/>
      </w:pPr>
      <w:r/>
      <w:r/>
    </w:p>
    <w:p>
      <w:pPr>
        <w:pStyle w:val="764"/>
        <w:jc w:val="both"/>
        <w:spacing w:before="1"/>
      </w:pPr>
      <w:r>
        <w:t xml:space="preserve">Таблица 9.1.1 – Учебно-методическое обеспечение дисциплины</w:t>
      </w:r>
      <w:r/>
    </w:p>
    <w:tbl>
      <w:tblPr>
        <w:tblW w:w="935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Библиографическое описание издания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ресурсы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Поляков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А.В.</w:t>
            </w:r>
            <w:r>
              <w:rPr>
                <w:bCs/>
                <w:sz w:val="24"/>
                <w:szCs w:val="24"/>
              </w:rPr>
              <w:t xml:space="preserve">, Тимошина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Е.В.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Общая теория права</w:t>
            </w:r>
            <w:r>
              <w:rPr>
                <w:bCs/>
                <w:sz w:val="24"/>
                <w:szCs w:val="24"/>
              </w:rPr>
              <w:t xml:space="preserve">. Учебник. Издательство СПбГУ.2017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Зинковский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 – Электрон. текстовые данные. – Москва: Статут, 2019. – 512 c.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Венгеров, А. Б. Теория государства и права : учебник / А. Б. Венгеров. — 14-е изд., стер. — Москва : Дашков и К, 2022. — 607 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– Москва : Юрист, 2021. – 288 c.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IPR-</w:t>
            </w:r>
            <w:r>
              <w:rPr>
                <w:sz w:val="24"/>
                <w:szCs w:val="24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</w:t>
            </w:r>
            <w:r>
              <w:rPr>
                <w:sz w:val="24"/>
                <w:szCs w:val="24"/>
              </w:rPr>
              <w:t xml:space="preserve">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4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ЭБС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4"/>
                <w:szCs w:val="24"/>
              </w:rPr>
              <w:t xml:space="preserve">http://www.iprbookshop.ru/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</w:t>
            </w:r>
            <w:r>
              <w:rPr>
                <w:sz w:val="24"/>
                <w:szCs w:val="24"/>
              </w:rPr>
              <w:t xml:space="preserve">Юстицинформ</w:t>
            </w:r>
            <w:r>
              <w:rPr>
                <w:sz w:val="24"/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55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szCs w:val="24"/>
              </w:rPr>
              <w:t xml:space="preserve">http://www.book.ru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szCs w:val="24"/>
              </w:rPr>
              <w:t xml:space="preserve">http://www.urait.ru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4"/>
                <w:szCs w:val="24"/>
              </w:rPr>
              <w:t xml:space="preserve">http://www.znanium.com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eLIBRARY.RU - www.elibrary.ru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«</w:t>
            </w:r>
            <w:r>
              <w:rPr>
                <w:sz w:val="24"/>
                <w:szCs w:val="24"/>
              </w:rPr>
              <w:t xml:space="preserve">КиберЛенинка</w:t>
            </w:r>
            <w:r>
              <w:rPr>
                <w:sz w:val="24"/>
                <w:szCs w:val="24"/>
              </w:rPr>
              <w:t xml:space="preserve">» - </w:t>
            </w:r>
            <w:r>
              <w:rPr>
                <w:color w:val="0000ff"/>
                <w:sz w:val="24"/>
                <w:szCs w:val="24"/>
              </w:rPr>
              <w:t xml:space="preserve">https://cyberleninka.ru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https://www.prlib.ru/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 w:val="24"/>
                <w:szCs w:val="24"/>
              </w:rPr>
              <w:t xml:space="preserve">http://nlr.ru/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https://www.rsl.ru/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4"/>
                <w:szCs w:val="24"/>
              </w:rPr>
              <w:t xml:space="preserve">http://inion.ru/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t xml:space="preserve">www.consultant.ru</w:t>
            </w:r>
            <w:r>
              <w:rPr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4"/>
                  <w:szCs w:val="24"/>
                </w:rPr>
                <w:t xml:space="preserve">http://www.garant.ru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4"/>
                  <w:szCs w:val="24"/>
                </w:rPr>
                <w:t xml:space="preserve">http://www.kodeks.ru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widowControl/>
        <w:rPr>
          <w:b/>
          <w:bCs/>
          <w:sz w:val="28"/>
          <w:szCs w:val="28"/>
          <w:lang w:bidi="ar-SA"/>
        </w:rPr>
        <w:outlineLvl w:val="2"/>
      </w:pPr>
      <w:r/>
      <w:bookmarkStart w:id="13" w:name="_Toc31673"/>
      <w:r>
        <w:rPr>
          <w:b/>
          <w:bCs/>
          <w:sz w:val="28"/>
          <w:szCs w:val="28"/>
          <w:lang w:bidi="ar-SA"/>
        </w:rPr>
        <w:t xml:space="preserve">9.2. Материально-техническое обеспечение учебного процесса</w:t>
      </w:r>
      <w:bookmarkEnd w:id="13"/>
      <w:r>
        <w:rPr>
          <w:b/>
          <w:bCs/>
          <w:sz w:val="28"/>
          <w:szCs w:val="28"/>
          <w:lang w:bidi="ar-SA"/>
        </w:rPr>
      </w:r>
      <w:r>
        <w:rPr>
          <w:b/>
          <w:bCs/>
          <w:sz w:val="28"/>
          <w:szCs w:val="28"/>
          <w:lang w:bidi="ar-SA"/>
        </w:rPr>
      </w:r>
    </w:p>
    <w:p>
      <w:pPr>
        <w:rPr>
          <w:sz w:val="28"/>
          <w:szCs w:val="28"/>
        </w:rPr>
      </w:pPr>
      <w:r/>
      <w:bookmarkStart w:id="14" w:name="_Hlk233406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>
        <w:tblPrEx/>
        <w:trPr/>
        <w:tc>
          <w:tcPr>
            <w:tcW w:w="28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№ п/п</w:t>
            </w:r>
            <w:r/>
          </w:p>
        </w:tc>
        <w:tc>
          <w:tcPr>
            <w:tcW w:w="47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4"/>
                  <w:szCs w:val="24"/>
                  <w:lang w:val="en-US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4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7-Zip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WinRar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(freeware)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pStyle w:val="923"/>
        <w:numPr>
          <w:ilvl w:val="0"/>
          <w:numId w:val="1"/>
        </w:numPr>
        <w:jc w:val="center"/>
        <w:keepNext/>
        <w:widowControl/>
        <w:rPr>
          <w:sz w:val="28"/>
          <w:szCs w:val="28"/>
          <w:lang w:bidi="ar-SA"/>
        </w:rPr>
        <w:outlineLvl w:val="2"/>
      </w:pPr>
      <w:r/>
      <w:bookmarkStart w:id="15" w:name="_Toc26070"/>
      <w:r>
        <w:rPr>
          <w:b/>
          <w:bCs/>
          <w:sz w:val="28"/>
          <w:szCs w:val="28"/>
          <w:lang w:bidi="ar-SA"/>
        </w:rPr>
        <w:t xml:space="preserve">ОСОБЕННОСТИ ОСВОЕНИЯ ДИСЦИПЛИНЫ ДЛЯ ИНВАЛИДОВ И ЛИЦ С ОГРАНИЧЕННЫМИ ВОЗМОЖНОСТЯМИ ЗДОРОВЬЯ</w:t>
      </w:r>
      <w:bookmarkEnd w:id="15"/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both"/>
        <w:spacing w:line="322" w:lineRule="exact"/>
        <w:widowControl/>
        <w:rPr>
          <w:rFonts w:eastAsia="Calibri"/>
          <w:color w:val="ff0000"/>
          <w:sz w:val="28"/>
          <w:szCs w:val="28"/>
          <w:lang w:bidi="ar-SA"/>
        </w:rPr>
      </w:pP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  <w:szCs w:val="28"/>
        </w:rPr>
        <w:t xml:space="preserve">тифлосурдопереводчиков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/>
        <w:tabs>
          <w:tab w:val="left" w:pos="0" w:leader="none"/>
        </w:tabs>
        <w:rPr>
          <w:b/>
          <w:bCs/>
          <w:color w:val="ff0000"/>
          <w:sz w:val="28"/>
          <w:szCs w:val="28"/>
          <w:lang w:bidi="ar-SA"/>
        </w:rPr>
        <w:outlineLvl w:val="2"/>
      </w:pP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</w:p>
    <w:p>
      <w:pPr>
        <w:numPr>
          <w:ilvl w:val="0"/>
          <w:numId w:val="1"/>
        </w:numPr>
        <w:ind w:left="714" w:hanging="357"/>
        <w:jc w:val="center"/>
        <w:keepNext/>
        <w:widowControl/>
        <w:rPr>
          <w:b/>
          <w:sz w:val="28"/>
          <w:szCs w:val="28"/>
          <w:lang w:bidi="ar-SA"/>
        </w:rPr>
        <w:outlineLvl w:val="2"/>
      </w:pPr>
      <w:r/>
      <w:bookmarkStart w:id="16" w:name="_Toc3087"/>
      <w:r>
        <w:rPr>
          <w:b/>
          <w:sz w:val="28"/>
          <w:szCs w:val="28"/>
          <w:lang w:bidi="ar-SA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6"/>
      <w:r>
        <w:rPr>
          <w:b/>
          <w:sz w:val="28"/>
          <w:szCs w:val="28"/>
          <w:lang w:bidi="ar-SA"/>
        </w:rPr>
      </w:r>
      <w:r>
        <w:rPr>
          <w:b/>
          <w:sz w:val="28"/>
          <w:szCs w:val="28"/>
          <w:lang w:bidi="ar-SA"/>
        </w:rPr>
      </w:r>
    </w:p>
    <w:p>
      <w:pPr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Фонд оценочных средств для проведения аттестации уровня сформированности компетенций, обучающихся по дисциплине </w:t>
      </w:r>
      <w:r>
        <w:rPr>
          <w:bCs/>
          <w:sz w:val="28"/>
          <w:szCs w:val="28"/>
          <w:lang w:bidi="ar-SA"/>
        </w:rPr>
        <w:t xml:space="preserve">оформляется отдельным документом и является приложением к рабочей программе дисциплины</w:t>
      </w:r>
      <w:r>
        <w:rPr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sectPr>
      <w:headerReference w:type="default" r:id="rId9"/>
      <w:footnotePr/>
      <w:endnotePr/>
      <w:type w:val="nextPage"/>
      <w:pgSz w:w="11920" w:h="16850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16.55pt;mso-position-horizontal:absolute;mso-position-vertical-relative:page;margin-top:35.4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08" w:hanging="56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50"/>
    <w:link w:val="772"/>
    <w:uiPriority w:val="10"/>
    <w:rPr>
      <w:sz w:val="48"/>
      <w:szCs w:val="48"/>
    </w:rPr>
  </w:style>
  <w:style w:type="character" w:styleId="715">
    <w:name w:val="Subtitle Char"/>
    <w:basedOn w:val="750"/>
    <w:link w:val="774"/>
    <w:uiPriority w:val="11"/>
    <w:rPr>
      <w:sz w:val="24"/>
      <w:szCs w:val="24"/>
    </w:rPr>
  </w:style>
  <w:style w:type="character" w:styleId="716">
    <w:name w:val="Quote Char"/>
    <w:link w:val="788"/>
    <w:uiPriority w:val="29"/>
    <w:rPr>
      <w:i/>
    </w:rPr>
  </w:style>
  <w:style w:type="character" w:styleId="717">
    <w:name w:val="Intense Quote Char"/>
    <w:link w:val="790"/>
    <w:uiPriority w:val="30"/>
    <w:rPr>
      <w:i/>
    </w:rPr>
  </w:style>
  <w:style w:type="table" w:styleId="71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7">
    <w:name w:val="Footnote Text Char"/>
    <w:link w:val="759"/>
    <w:uiPriority w:val="99"/>
    <w:rPr>
      <w:sz w:val="18"/>
    </w:rPr>
  </w:style>
  <w:style w:type="character" w:styleId="738">
    <w:name w:val="Endnote Text Char"/>
    <w:link w:val="757"/>
    <w:uiPriority w:val="99"/>
    <w:rPr>
      <w:sz w:val="20"/>
    </w:rPr>
  </w:style>
  <w:style w:type="paragraph" w:styleId="739">
    <w:name w:val="TOC Heading"/>
    <w:uiPriority w:val="39"/>
    <w:unhideWhenUsed/>
  </w:style>
  <w:style w:type="paragraph" w:styleId="740" w:default="1">
    <w:name w:val="Normal"/>
    <w:uiPriority w:val="1"/>
    <w:qFormat/>
    <w:pPr>
      <w:widowControl w:val="off"/>
    </w:pPr>
    <w:rPr>
      <w:rFonts w:eastAsia="Times New Roman"/>
      <w:sz w:val="22"/>
      <w:szCs w:val="22"/>
      <w:lang w:bidi="ru-RU"/>
    </w:rPr>
  </w:style>
  <w:style w:type="paragraph" w:styleId="741">
    <w:name w:val="Heading 1"/>
    <w:basedOn w:val="740"/>
    <w:link w:val="926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42">
    <w:name w:val="Heading 2"/>
    <w:basedOn w:val="740"/>
    <w:next w:val="740"/>
    <w:link w:val="93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43">
    <w:name w:val="Heading 3"/>
    <w:basedOn w:val="740"/>
    <w:next w:val="740"/>
    <w:link w:val="94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44">
    <w:name w:val="Heading 4"/>
    <w:basedOn w:val="740"/>
    <w:next w:val="74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7">
    <w:name w:val="Heading 7"/>
    <w:basedOn w:val="740"/>
    <w:next w:val="740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8">
    <w:name w:val="Heading 8"/>
    <w:basedOn w:val="740"/>
    <w:next w:val="740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9">
    <w:name w:val="Heading 9"/>
    <w:basedOn w:val="740"/>
    <w:next w:val="740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uiPriority w:val="99"/>
    <w:unhideWhenUsed/>
    <w:qFormat/>
    <w:rPr>
      <w:color w:val="0563c1"/>
      <w:u w:val="single"/>
    </w:rPr>
  </w:style>
  <w:style w:type="paragraph" w:styleId="756">
    <w:name w:val="Balloon Text"/>
    <w:basedOn w:val="740"/>
    <w:link w:val="93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7">
    <w:name w:val="endnote text"/>
    <w:basedOn w:val="740"/>
    <w:link w:val="921"/>
    <w:uiPriority w:val="99"/>
    <w:semiHidden/>
    <w:unhideWhenUsed/>
    <w:qFormat/>
    <w:rPr>
      <w:sz w:val="20"/>
    </w:rPr>
  </w:style>
  <w:style w:type="paragraph" w:styleId="758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59">
    <w:name w:val="footnote text"/>
    <w:basedOn w:val="740"/>
    <w:link w:val="920"/>
    <w:uiPriority w:val="99"/>
    <w:semiHidden/>
    <w:unhideWhenUsed/>
    <w:qFormat/>
    <w:pPr>
      <w:spacing w:after="40"/>
    </w:pPr>
    <w:rPr>
      <w:sz w:val="18"/>
    </w:rPr>
  </w:style>
  <w:style w:type="paragraph" w:styleId="760">
    <w:name w:val="toc 8"/>
    <w:basedOn w:val="740"/>
    <w:next w:val="740"/>
    <w:uiPriority w:val="39"/>
    <w:unhideWhenUsed/>
    <w:qFormat/>
    <w:pPr>
      <w:ind w:left="1984"/>
      <w:spacing w:after="57"/>
    </w:pPr>
  </w:style>
  <w:style w:type="paragraph" w:styleId="761">
    <w:name w:val="Header"/>
    <w:basedOn w:val="740"/>
    <w:link w:val="9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62">
    <w:name w:val="toc 9"/>
    <w:basedOn w:val="740"/>
    <w:next w:val="740"/>
    <w:uiPriority w:val="39"/>
    <w:unhideWhenUsed/>
    <w:qFormat/>
    <w:pPr>
      <w:ind w:left="2268"/>
      <w:spacing w:after="57"/>
    </w:pPr>
  </w:style>
  <w:style w:type="paragraph" w:styleId="763">
    <w:name w:val="toc 7"/>
    <w:basedOn w:val="740"/>
    <w:next w:val="740"/>
    <w:uiPriority w:val="39"/>
    <w:unhideWhenUsed/>
    <w:qFormat/>
    <w:pPr>
      <w:ind w:left="1701"/>
      <w:spacing w:after="57"/>
    </w:pPr>
  </w:style>
  <w:style w:type="paragraph" w:styleId="764">
    <w:name w:val="Body Text"/>
    <w:basedOn w:val="740"/>
    <w:link w:val="935"/>
    <w:uiPriority w:val="1"/>
    <w:qFormat/>
    <w:rPr>
      <w:sz w:val="28"/>
      <w:szCs w:val="28"/>
    </w:rPr>
  </w:style>
  <w:style w:type="paragraph" w:styleId="765">
    <w:name w:val="toc 1"/>
    <w:basedOn w:val="740"/>
    <w:next w:val="740"/>
    <w:uiPriority w:val="39"/>
    <w:unhideWhenUsed/>
    <w:qFormat/>
    <w:pPr>
      <w:spacing w:after="100"/>
      <w:tabs>
        <w:tab w:val="left" w:pos="440" w:leader="none"/>
        <w:tab w:val="right" w:pos="9356" w:leader="dot"/>
      </w:tabs>
    </w:pPr>
  </w:style>
  <w:style w:type="paragraph" w:styleId="766">
    <w:name w:val="toc 6"/>
    <w:basedOn w:val="740"/>
    <w:next w:val="740"/>
    <w:uiPriority w:val="39"/>
    <w:unhideWhenUsed/>
    <w:qFormat/>
    <w:pPr>
      <w:ind w:left="1417"/>
      <w:spacing w:after="57"/>
    </w:pPr>
  </w:style>
  <w:style w:type="paragraph" w:styleId="767">
    <w:name w:val="table of figures"/>
    <w:basedOn w:val="740"/>
    <w:next w:val="740"/>
    <w:uiPriority w:val="99"/>
    <w:unhideWhenUsed/>
    <w:qFormat/>
  </w:style>
  <w:style w:type="paragraph" w:styleId="768">
    <w:name w:val="toc 3"/>
    <w:basedOn w:val="740"/>
    <w:next w:val="740"/>
    <w:uiPriority w:val="39"/>
    <w:unhideWhenUsed/>
    <w:qFormat/>
    <w:pPr>
      <w:ind w:left="440" w:hanging="298"/>
      <w:spacing w:after="100"/>
      <w:tabs>
        <w:tab w:val="right" w:pos="9363" w:leader="dot"/>
      </w:tabs>
    </w:pPr>
  </w:style>
  <w:style w:type="paragraph" w:styleId="769">
    <w:name w:val="toc 2"/>
    <w:basedOn w:val="740"/>
    <w:next w:val="740"/>
    <w:uiPriority w:val="39"/>
    <w:unhideWhenUsed/>
    <w:qFormat/>
    <w:pPr>
      <w:ind w:left="220"/>
      <w:spacing w:after="100"/>
      <w:tabs>
        <w:tab w:val="left" w:pos="880" w:leader="none"/>
        <w:tab w:val="right" w:pos="9356" w:leader="dot"/>
      </w:tabs>
    </w:pPr>
  </w:style>
  <w:style w:type="paragraph" w:styleId="77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771">
    <w:name w:val="toc 5"/>
    <w:basedOn w:val="740"/>
    <w:next w:val="740"/>
    <w:uiPriority w:val="39"/>
    <w:unhideWhenUsed/>
    <w:qFormat/>
    <w:pPr>
      <w:ind w:left="1134"/>
      <w:spacing w:after="57"/>
    </w:pPr>
  </w:style>
  <w:style w:type="paragraph" w:styleId="772">
    <w:name w:val="Title"/>
    <w:basedOn w:val="740"/>
    <w:next w:val="740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3">
    <w:name w:val="Footer"/>
    <w:basedOn w:val="740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4">
    <w:name w:val="Subtitle"/>
    <w:basedOn w:val="740"/>
    <w:next w:val="740"/>
    <w:link w:val="787"/>
    <w:uiPriority w:val="11"/>
    <w:qFormat/>
    <w:pPr>
      <w:spacing w:before="200" w:after="200"/>
    </w:pPr>
    <w:rPr>
      <w:sz w:val="24"/>
      <w:szCs w:val="24"/>
    </w:rPr>
  </w:style>
  <w:style w:type="table" w:styleId="775">
    <w:name w:val="Table Grid"/>
    <w:basedOn w:val="7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6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78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basedOn w:val="750"/>
    <w:link w:val="7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basedOn w:val="750"/>
    <w:link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basedOn w:val="750"/>
    <w:link w:val="7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86" w:customStyle="1">
    <w:name w:val="Заголовок Знак"/>
    <w:basedOn w:val="750"/>
    <w:link w:val="772"/>
    <w:uiPriority w:val="10"/>
    <w:qFormat/>
    <w:rPr>
      <w:sz w:val="48"/>
      <w:szCs w:val="48"/>
    </w:rPr>
  </w:style>
  <w:style w:type="character" w:styleId="787" w:customStyle="1">
    <w:name w:val="Подзаголовок Знак"/>
    <w:basedOn w:val="750"/>
    <w:link w:val="774"/>
    <w:uiPriority w:val="11"/>
    <w:qFormat/>
    <w:rPr>
      <w:sz w:val="24"/>
      <w:szCs w:val="24"/>
    </w:rPr>
  </w:style>
  <w:style w:type="paragraph" w:styleId="788">
    <w:name w:val="Quote"/>
    <w:basedOn w:val="740"/>
    <w:next w:val="740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qFormat/>
    <w:rPr>
      <w:i/>
    </w:rPr>
  </w:style>
  <w:style w:type="paragraph" w:styleId="790">
    <w:name w:val="Intense Quote"/>
    <w:basedOn w:val="740"/>
    <w:next w:val="740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qFormat/>
    <w:rPr>
      <w:i/>
    </w:rPr>
  </w:style>
  <w:style w:type="character" w:styleId="792" w:customStyle="1">
    <w:name w:val="Header Char"/>
    <w:basedOn w:val="750"/>
    <w:uiPriority w:val="99"/>
    <w:qFormat/>
  </w:style>
  <w:style w:type="character" w:styleId="793" w:customStyle="1">
    <w:name w:val="Footer Char"/>
    <w:basedOn w:val="750"/>
    <w:uiPriority w:val="99"/>
    <w:qFormat/>
  </w:style>
  <w:style w:type="character" w:styleId="794" w:customStyle="1">
    <w:name w:val="Caption Char"/>
    <w:uiPriority w:val="99"/>
    <w:qFormat/>
  </w:style>
  <w:style w:type="table" w:styleId="79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7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38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39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40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41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2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3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basedOn w:val="75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basedOn w:val="75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51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51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51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51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51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51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basedOn w:val="75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51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basedOn w:val="751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basedOn w:val="751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basedOn w:val="751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basedOn w:val="751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basedOn w:val="751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basedOn w:val="751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5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basedOn w:val="75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basedOn w:val="75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 w:customStyle="1">
    <w:name w:val="Текст сноски Знак"/>
    <w:link w:val="759"/>
    <w:uiPriority w:val="99"/>
    <w:qFormat/>
    <w:rPr>
      <w:sz w:val="18"/>
    </w:rPr>
  </w:style>
  <w:style w:type="character" w:styleId="921" w:customStyle="1">
    <w:name w:val="Текст концевой сноски Знак"/>
    <w:link w:val="757"/>
    <w:uiPriority w:val="99"/>
    <w:qFormat/>
    <w:rPr>
      <w:sz w:val="20"/>
    </w:rPr>
  </w:style>
  <w:style w:type="table" w:styleId="92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>
    <w:name w:val="List Paragraph"/>
    <w:basedOn w:val="740"/>
    <w:uiPriority w:val="1"/>
    <w:qFormat/>
    <w:pPr>
      <w:ind w:left="442" w:hanging="360"/>
    </w:pPr>
  </w:style>
  <w:style w:type="paragraph" w:styleId="924" w:customStyle="1">
    <w:name w:val="Table Paragraph"/>
    <w:basedOn w:val="740"/>
    <w:uiPriority w:val="1"/>
    <w:qFormat/>
  </w:style>
  <w:style w:type="paragraph" w:styleId="925" w:customStyle="1">
    <w:name w:val="текст"/>
    <w:basedOn w:val="740"/>
    <w:qFormat/>
    <w:pPr>
      <w:ind w:firstLine="709"/>
      <w:jc w:val="both"/>
      <w:widowControl/>
    </w:pPr>
    <w:rPr>
      <w:sz w:val="32"/>
      <w:szCs w:val="20"/>
      <w:lang w:bidi="ar-SA"/>
    </w:rPr>
  </w:style>
  <w:style w:type="character" w:styleId="926" w:customStyle="1">
    <w:name w:val="Заголовок 1 Знак"/>
    <w:basedOn w:val="750"/>
    <w:link w:val="74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paragraph" w:styleId="927" w:customStyle="1">
    <w:name w:val="Style13"/>
    <w:basedOn w:val="74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28" w:customStyle="1">
    <w:name w:val="Style214"/>
    <w:basedOn w:val="74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929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0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1" w:customStyle="1">
    <w:name w:val="CharStyle0"/>
    <w:qFormat/>
    <w:rPr>
      <w:rFonts w:hint="default" w:ascii="Times New Roman" w:hAnsi="Times New Roman" w:eastAsia="Times New Roman" w:cs="Times New Roman"/>
      <w:sz w:val="24"/>
      <w:szCs w:val="24"/>
    </w:rPr>
  </w:style>
  <w:style w:type="character" w:styleId="932" w:customStyle="1">
    <w:name w:val="Текст выноски Знак"/>
    <w:basedOn w:val="750"/>
    <w:link w:val="756"/>
    <w:uiPriority w:val="99"/>
    <w:semiHidden/>
    <w:qFormat/>
    <w:rPr>
      <w:rFonts w:ascii="Segoe UI" w:hAnsi="Segoe UI" w:eastAsia="Times New Roman" w:cs="Segoe UI"/>
      <w:sz w:val="18"/>
      <w:szCs w:val="18"/>
      <w:lang w:val="ru-RU" w:eastAsia="ru-RU" w:bidi="ru-RU"/>
    </w:rPr>
  </w:style>
  <w:style w:type="paragraph" w:styleId="933" w:customStyle="1">
    <w:name w:val="WW-Базовый"/>
    <w:qFormat/>
    <w:pPr>
      <w:spacing w:line="100" w:lineRule="atLeast"/>
    </w:pPr>
    <w:rPr>
      <w:rFonts w:eastAsia="Times New Roman"/>
      <w:color w:val="000000"/>
      <w:sz w:val="24"/>
      <w:szCs w:val="24"/>
      <w:lang w:eastAsia="zh-CN"/>
    </w:rPr>
  </w:style>
  <w:style w:type="paragraph" w:styleId="934" w:customStyle="1">
    <w:name w:val="Style5"/>
    <w:basedOn w:val="74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character" w:styleId="935" w:customStyle="1">
    <w:name w:val="Основной текст Знак"/>
    <w:basedOn w:val="750"/>
    <w:link w:val="764"/>
    <w:uiPriority w:val="1"/>
    <w:qFormat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character" w:styleId="936" w:customStyle="1">
    <w:name w:val="Основной текст (2)"/>
    <w:basedOn w:val="750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7" w:customStyle="1">
    <w:name w:val="Заголовок 2 Знак"/>
    <w:basedOn w:val="750"/>
    <w:link w:val="742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938" w:customStyle="1">
    <w:name w:val="Заголовок оглавления1"/>
    <w:basedOn w:val="741"/>
    <w:next w:val="740"/>
    <w:uiPriority w:val="39"/>
    <w:semiHidden/>
    <w:unhideWhenUsed/>
    <w:qFormat/>
    <w:pPr>
      <w:ind w:left="0"/>
      <w:keepLines/>
      <w:keepNext/>
      <w:spacing w:before="480" w:line="276" w:lineRule="auto"/>
      <w:widowControl/>
      <w:outlineLvl w:val="9"/>
    </w:pPr>
    <w:rPr>
      <w:rFonts w:asciiTheme="majorHAnsi" w:hAnsiTheme="majorHAnsi" w:eastAsiaTheme="majorEastAsia" w:cstheme="majorBidi"/>
      <w:color w:val="365f91" w:themeColor="accent1" w:themeShade="BF"/>
      <w:lang w:eastAsia="en-US" w:bidi="ar-SA"/>
    </w:rPr>
  </w:style>
  <w:style w:type="character" w:styleId="939" w:customStyle="1">
    <w:name w:val="Верхний колонтитул Знак"/>
    <w:basedOn w:val="750"/>
    <w:link w:val="761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940" w:customStyle="1">
    <w:name w:val="Нижний колонтитул Знак"/>
    <w:basedOn w:val="750"/>
    <w:link w:val="773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41" w:customStyle="1">
    <w:name w:val="Report_Main"/>
    <w:basedOn w:val="740"/>
    <w:qFormat/>
    <w:pPr>
      <w:widowControl/>
    </w:pPr>
    <w:rPr>
      <w:sz w:val="24"/>
      <w:szCs w:val="24"/>
      <w:lang w:bidi="ar-SA"/>
    </w:rPr>
  </w:style>
  <w:style w:type="paragraph" w:styleId="942" w:customStyle="1">
    <w:name w:val="Default"/>
    <w:qFormat/>
    <w:rPr>
      <w:rFonts w:eastAsia="Times New Roman"/>
      <w:color w:val="000000"/>
      <w:sz w:val="24"/>
      <w:szCs w:val="24"/>
    </w:rPr>
  </w:style>
  <w:style w:type="character" w:styleId="943" w:customStyle="1">
    <w:name w:val="Заголовок 3 Знак"/>
    <w:basedOn w:val="750"/>
    <w:link w:val="743"/>
    <w:uiPriority w:val="9"/>
    <w:semiHidden/>
    <w:qFormat/>
    <w:rPr>
      <w:rFonts w:asciiTheme="majorHAnsi" w:hAnsiTheme="majorHAnsi" w:eastAsiaTheme="majorEastAsia" w:cstheme="majorBidi"/>
      <w:color w:val="244061" w:themeColor="accent1" w:themeShade="80"/>
      <w:sz w:val="24"/>
      <w:szCs w:val="24"/>
      <w:lang w:val="ru-RU" w:eastAsia="ru-RU" w:bidi="ru-RU"/>
    </w:rPr>
  </w:style>
  <w:style w:type="table" w:styleId="944" w:customStyle="1">
    <w:name w:val="Table Normal1"/>
    <w:qFormat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/>
      <w:color w:val="000000"/>
      <w:sz w:val="22"/>
      <w:lang w:val="en-US" w:eastAsia="zh-CN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945" w:customStyle="1">
    <w:name w:val="Гиперссылка1"/>
    <w:qFormat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revision>20</cp:revision>
  <dcterms:created xsi:type="dcterms:W3CDTF">2023-09-26T13:57:00Z</dcterms:created>
  <dcterms:modified xsi:type="dcterms:W3CDTF">2025-08-12T11:55:41Z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0254FC1D0B6A46529E63A5E52B88AF95_12</vt:lpwstr>
  </property>
</Properties>
</file>