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5.1.5. Международно-правовые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2025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2025.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tabs>
          <w:tab w:val="right" w:pos="9348" w:leader="dot"/>
        </w:tabs>
        <w:rPr>
          <w:rFonts w:ascii="Calibri" w:hAnsi="Calibri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ascii="Calibri" w:hAnsi="Calibri"/>
          <w:lang w:bidi="ar-SA"/>
        </w:rPr>
      </w:r>
      <w:r>
        <w:rPr>
          <w:rFonts w:ascii="Calibri" w:hAnsi="Calibri"/>
          <w:lang w:bidi="ar-SA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"_Toc61021469" \o "#_Toc61021469" </w:instrText>
      </w:r>
      <w:r>
        <w:fldChar w:fldCharType="separate"/>
      </w:r>
      <w:r>
        <w:rPr>
          <w:rStyle w:val="723"/>
        </w:rPr>
        <w:t xml:space="preserve">1.</w:t>
      </w:r>
      <w:r>
        <w:rPr>
          <w:rFonts w:ascii="Calibri" w:hAnsi="Calibri"/>
        </w:rPr>
        <w:tab/>
      </w:r>
      <w:r>
        <w:rPr>
          <w:rStyle w:val="723"/>
        </w:rPr>
        <w:t xml:space="preserve">ЦЕЛЬ И ЗАДАЧИ ДИСЦИПЛИНЫ</w:t>
      </w:r>
      <w:r>
        <w:tab/>
      </w:r>
      <w:r>
        <w:fldChar w:fldCharType="begin"/>
      </w:r>
      <w:r>
        <w:instrText xml:space="preserve"> PAGEREF _Toc61021469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"_Toc61021470" \o "#_Toc61021470" </w:instrText>
      </w:r>
      <w:r>
        <w:fldChar w:fldCharType="separate"/>
      </w:r>
      <w:r>
        <w:rPr>
          <w:rStyle w:val="723"/>
        </w:rPr>
        <w:t xml:space="preserve">2.</w:t>
      </w:r>
      <w:r>
        <w:rPr>
          <w:rFonts w:ascii="Calibri" w:hAnsi="Calibri"/>
        </w:rPr>
        <w:tab/>
      </w:r>
      <w:r>
        <w:rPr>
          <w:rStyle w:val="723"/>
        </w:rPr>
        <w:t xml:space="preserve">МЕСТО ДИСЦИПЛИНЫ В СТРУКТУРЕ ОБРАЗОВАТЕЛНОЙ ПРОГРАММЫ</w:t>
      </w:r>
      <w:r>
        <w:tab/>
      </w:r>
      <w:r>
        <w:fldChar w:fldCharType="begin"/>
      </w:r>
      <w:r>
        <w:instrText xml:space="preserve"> PAGEREF _Toc61021470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"_Toc61021471" \o "#_Toc61021471" </w:instrText>
      </w:r>
      <w:r>
        <w:fldChar w:fldCharType="separate"/>
      </w:r>
      <w:r>
        <w:rPr>
          <w:rStyle w:val="723"/>
        </w:rPr>
        <w:t xml:space="preserve">3.</w:t>
      </w:r>
      <w:r>
        <w:rPr>
          <w:rFonts w:ascii="Calibri" w:hAnsi="Calibri"/>
        </w:rPr>
        <w:tab/>
      </w:r>
      <w:r>
        <w:rPr>
          <w:rStyle w:val="723"/>
        </w:rPr>
        <w:t xml:space="preserve">ПЛАНИРУЕМЫЕ РЕЗУЛЬТАТЫ ОБУЧЕНИЯ ПО ДИСЦИПЛИНЕ</w:t>
      </w:r>
      <w:r>
        <w:tab/>
      </w:r>
      <w:r>
        <w:fldChar w:fldCharType="begin"/>
      </w:r>
      <w:r>
        <w:instrText xml:space="preserve"> PAGEREF _Toc61021471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"_Toc61021472" \o "#_Toc61021472" </w:instrText>
      </w:r>
      <w:r>
        <w:fldChar w:fldCharType="separate"/>
      </w:r>
      <w:r>
        <w:rPr>
          <w:rStyle w:val="723"/>
        </w:rPr>
        <w:t xml:space="preserve">4.</w:t>
      </w:r>
      <w:r>
        <w:rPr>
          <w:rFonts w:ascii="Calibri" w:hAnsi="Calibri"/>
        </w:rPr>
        <w:tab/>
      </w:r>
      <w:r>
        <w:rPr>
          <w:rStyle w:val="723"/>
        </w:rPr>
        <w:t xml:space="preserve">ОБЪЕМ И СТРУКТУРА ДИСЦИПЛИНЫ</w:t>
      </w:r>
      <w:r>
        <w:tab/>
      </w:r>
      <w:r>
        <w:fldChar w:fldCharType="begin"/>
      </w:r>
      <w:r>
        <w:instrText xml:space="preserve"> PAGEREF _Toc61021472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"_Toc61021473" \o "#_Toc61021473" </w:instrText>
      </w:r>
      <w:r>
        <w:fldChar w:fldCharType="separate"/>
      </w:r>
      <w:r>
        <w:rPr>
          <w:rStyle w:val="723"/>
        </w:rPr>
        <w:t xml:space="preserve">5.</w:t>
      </w:r>
      <w:r>
        <w:rPr>
          <w:rFonts w:ascii="Calibri" w:hAnsi="Calibri"/>
        </w:rPr>
        <w:tab/>
      </w:r>
      <w:r>
        <w:rPr>
          <w:rStyle w:val="723"/>
        </w:rPr>
        <w:t xml:space="preserve">СОДЕРЖАНИЕ РАЗДЕЛОВ И ТЕМ ДИСЦИПЛИНЫ</w:t>
      </w:r>
      <w:r>
        <w:tab/>
      </w:r>
      <w:r>
        <w:fldChar w:fldCharType="begin"/>
      </w:r>
      <w:r>
        <w:instrText xml:space="preserve"> PAGEREF _Toc61021473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"_Toc61021474" \o "#_Toc61021474" </w:instrText>
      </w:r>
      <w:r>
        <w:fldChar w:fldCharType="separate"/>
      </w:r>
      <w:r>
        <w:rPr>
          <w:rStyle w:val="723"/>
        </w:rPr>
        <w:t xml:space="preserve">6.</w:t>
      </w:r>
      <w:r>
        <w:rPr>
          <w:rFonts w:ascii="Calibri" w:hAnsi="Calibri"/>
        </w:rPr>
        <w:tab/>
      </w:r>
      <w:r>
        <w:rPr>
          <w:rStyle w:val="723"/>
        </w:rPr>
        <w:t xml:space="preserve">ЗАНЯТИЯ СЕМИНАРСКОГО ТИПА</w:t>
      </w:r>
      <w:r>
        <w:tab/>
      </w:r>
      <w:r>
        <w:fldChar w:fldCharType="begin"/>
      </w:r>
      <w:r>
        <w:instrText xml:space="preserve"> PAGEREF _Toc61021474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"_Toc61021475" \o "#_Toc61021475" </w:instrText>
      </w:r>
      <w:r>
        <w:fldChar w:fldCharType="separate"/>
      </w:r>
      <w:r>
        <w:rPr>
          <w:rStyle w:val="723"/>
        </w:rPr>
        <w:t xml:space="preserve">7.</w:t>
      </w:r>
      <w:r>
        <w:rPr>
          <w:rFonts w:ascii="Calibri" w:hAnsi="Calibri"/>
        </w:rPr>
        <w:tab/>
      </w:r>
      <w:r>
        <w:rPr>
          <w:rStyle w:val="723"/>
        </w:rPr>
        <w:t xml:space="preserve">МЕТОДИЧЕСКИЕ УКАЗАНИЯ ДЛЯ ОБУЧАЮЩИХСЯ</w:t>
      </w:r>
      <w:r>
        <w:tab/>
      </w:r>
      <w:r>
        <w:fldChar w:fldCharType="begin"/>
      </w:r>
      <w:r>
        <w:instrText xml:space="preserve"> PAGEREF _Toc61021475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"_Toc61021476" \o "#_Toc61021476" </w:instrText>
      </w:r>
      <w:r>
        <w:fldChar w:fldCharType="separate"/>
      </w:r>
      <w:r>
        <w:rPr>
          <w:rStyle w:val="723"/>
        </w:rPr>
        <w:t xml:space="preserve">8.</w:t>
      </w:r>
      <w:r>
        <w:rPr>
          <w:rFonts w:ascii="Calibri" w:hAnsi="Calibri"/>
        </w:rPr>
        <w:tab/>
      </w:r>
      <w:r>
        <w:rPr>
          <w:rStyle w:val="723"/>
        </w:rPr>
        <w:t xml:space="preserve">ОБРАЗОВАТЕЛЬНЫЕ ТЕХНОЛОГИИ</w:t>
      </w:r>
      <w:r>
        <w:tab/>
      </w:r>
      <w:r>
        <w:fldChar w:fldCharType="begin"/>
      </w:r>
      <w:r>
        <w:instrText xml:space="preserve"> PAGEREF _Toc61021476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"_Toc61021477" \o "#_Toc61021477" </w:instrText>
      </w:r>
      <w:r>
        <w:fldChar w:fldCharType="separate"/>
      </w:r>
      <w:r>
        <w:rPr>
          <w:rStyle w:val="723"/>
        </w:rPr>
        <w:t xml:space="preserve">9.</w:t>
      </w:r>
      <w:r>
        <w:rPr>
          <w:rFonts w:ascii="Calibri" w:hAnsi="Calibri"/>
        </w:rPr>
        <w:tab/>
      </w:r>
      <w:r>
        <w:rPr>
          <w:rStyle w:val="723"/>
        </w:rPr>
        <w:t xml:space="preserve">РЕСУРСНОЕ ОБЕСПЕЧЕНИЕ ДИСЦИПЛИНЫ</w:t>
      </w:r>
      <w:r>
        <w:tab/>
      </w:r>
      <w:r>
        <w:fldChar w:fldCharType="begin"/>
      </w:r>
      <w:r>
        <w:instrText xml:space="preserve"> PAGEREF _Toc61021477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"_Toc61021478" \o "#_Toc61021478"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Учебно-методическое и информационное обеспечение дисциплины</w:t>
      </w:r>
      <w:r>
        <w:tab/>
      </w:r>
      <w:r>
        <w:fldChar w:fldCharType="begin"/>
      </w:r>
      <w:r>
        <w:instrText xml:space="preserve"> PAGEREF _Toc61021478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"_Toc61021479" \o "#_Toc61021479"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Материально-техническое обеспечение учебного процесса</w:t>
      </w:r>
      <w:r>
        <w:tab/>
      </w:r>
      <w:r>
        <w:fldChar w:fldCharType="begin"/>
      </w:r>
      <w:r>
        <w:instrText xml:space="preserve"> PAGEREF _Toc61021479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"_Toc61021480" \o "#_Toc61021480" </w:instrText>
      </w:r>
      <w:r>
        <w:fldChar w:fldCharType="separate"/>
      </w:r>
      <w:r>
        <w:rPr>
          <w:rStyle w:val="723"/>
        </w:rPr>
        <w:t xml:space="preserve">10.</w:t>
      </w:r>
      <w:r>
        <w:rPr>
          <w:rFonts w:ascii="Calibri" w:hAnsi="Calibri"/>
        </w:rPr>
        <w:tab/>
      </w:r>
      <w:r>
        <w:rPr>
          <w:rStyle w:val="723"/>
        </w:rPr>
        <w:t xml:space="preserve">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 xml:space="preserve"> PAGEREF _Toc61021480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"_Toc61021481" \o "#_Toc61021481" </w:instrText>
      </w:r>
      <w:r>
        <w:fldChar w:fldCharType="separate"/>
      </w:r>
      <w:r>
        <w:rPr>
          <w:rStyle w:val="723"/>
        </w:rPr>
        <w:t xml:space="preserve">11.</w:t>
      </w:r>
      <w:r>
        <w:rPr>
          <w:rFonts w:ascii="Calibri" w:hAnsi="Calibri"/>
        </w:rPr>
        <w:tab/>
      </w:r>
      <w:r>
        <w:rPr>
          <w:rStyle w:val="723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 xml:space="preserve"> PAGEREF _Toc61021481 \h 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bookmarkStart w:id="2" w:name="_Toc61021469"/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bookmarkEnd w:id="2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" w:name="_Toc61021470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bookmarkEnd w:id="3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" w:name="_Toc61021472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bookmarkEnd w:id="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(1 ЗЕ) часа отводится для промежуточной аттестации.</w:t>
      </w:r>
      <w:r>
        <w:rPr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/>
      <w:bookmarkStart w:id="5" w:name="_Toc508197105"/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740"/>
        <w:gridCol w:w="643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6" w:name="_Toc61021473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bookmarkEnd w:id="5"/>
      <w:r/>
      <w:bookmarkEnd w:id="6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7" w:name="_Toc508197106"/>
      <w:r/>
      <w:bookmarkStart w:id="8" w:name="_Toc61021474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bookmarkEnd w:id="7"/>
      <w:r/>
      <w:bookmarkEnd w:id="8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9" w:name="_Toc61021475"/>
      <w:r/>
      <w:bookmarkStart w:id="10" w:name="_Toc508197107"/>
      <w:r/>
      <w:bookmarkStart w:id="11" w:name="_Toc481757526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bookmarkEnd w:id="9"/>
      <w:r/>
      <w:bookmarkEnd w:id="10"/>
      <w:r/>
      <w:bookmarkEnd w:id="11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/>
      <w:bookmarkStart w:id="12" w:name="_Toc508197108"/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bookmarkEnd w:id="12"/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/>
      <w:bookmarkStart w:id="14" w:name="_Toc508197109"/>
      <w:r>
        <w:rPr>
          <w:b/>
          <w:sz w:val="28"/>
          <w:szCs w:val="28"/>
        </w:rPr>
        <w:t xml:space="preserve">Организация самостоятельной работы</w:t>
      </w:r>
      <w:bookmarkEnd w:id="1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16" w:name="_Toc508197110"/>
      <w:r/>
      <w:bookmarkStart w:id="17" w:name="_Toc61021476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bookmarkEnd w:id="16"/>
      <w:r/>
      <w:bookmarkEnd w:id="17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/>
      <w:bookmarkStart w:id="18" w:name="_Toc508197111"/>
      <w:r/>
      <w:bookmarkStart w:id="19" w:name="_Toc476906794"/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0" w:name="_Toc61021477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bookmarkEnd w:id="18"/>
      <w:r/>
      <w:bookmarkEnd w:id="19"/>
      <w:r/>
      <w:bookmarkEnd w:id="20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1" w:name="_Toc508197112"/>
      <w:r/>
      <w:bookmarkStart w:id="22" w:name="_Toc61021478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bookmarkEnd w:id="21"/>
      <w:r/>
      <w:bookmarkEnd w:id="22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23" w:name="_Toc476906796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6" w:name="_Toc508197113"/>
      <w:r/>
      <w:bookmarkStart w:id="27" w:name="_Toc43382412"/>
      <w:r/>
      <w:bookmarkStart w:id="28" w:name="_Toc61021479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bookmarkEnd w:id="26"/>
      <w:r/>
      <w:bookmarkEnd w:id="27"/>
      <w:r/>
      <w:bookmarkEnd w:id="28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23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9" w:name="_Toc61021480"/>
      <w:r/>
      <w:bookmarkStart w:id="30" w:name="_Toc508197114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bookmarkEnd w:id="29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1" w:name="_Toc61021481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0"/>
      <w:r/>
      <w:bookmarkEnd w:id="31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15</cp:revision>
  <dcterms:created xsi:type="dcterms:W3CDTF">2023-09-27T09:00:00Z</dcterms:created>
  <dcterms:modified xsi:type="dcterms:W3CDTF">2025-08-12T10:26:27Z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