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b/>
          <w:spacing w:val="20"/>
          <w:sz w:val="28"/>
        </w:rPr>
        <w:t xml:space="preserve">Международный коммерческий арбитраж </w:t>
      </w: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49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4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B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20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75F586B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F6D19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_Toc16710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_Toc16710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20959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9EBE4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_Toc10294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_Toc10294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DF323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1FDB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BB4DA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_Toc2041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98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«Международный коммерческий арбитраж» (далее - МКА).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D77849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области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международного коммерческого арбитража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0"/>
                <w:sz w:val="24"/>
                <w:szCs w:val="24"/>
                <w:highlight w:val="white"/>
              </w:rPr>
              <w:t xml:space="preserve"> в том числе с использованием новейших информационно-коммуникационных технологи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>й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7046EE87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международного коммерческого арбитража;</w:t>
            </w:r>
          </w:p>
          <w:p w14:paraId="2BE63A5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международного коммерческого арбитража;</w:t>
            </w:r>
          </w:p>
          <w:p w14:paraId="6787A14E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международного коммерческого арбитража;</w:t>
            </w:r>
          </w:p>
          <w:p w14:paraId="53A381F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примененять нормы, регулирующие деятельность международного коммерческого арбитража, при рассмотрении споров.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2400B1A6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</w:p>
          <w:p w14:paraId="6EA0E19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приемами проведения научных исследований в области международного коммерческого арбитража;</w:t>
            </w:r>
          </w:p>
          <w:p w14:paraId="2ACD9A2D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 технологиями коммуникации, анализа и оценки современных научных достижений, в области международного коммерческого арбитража в том числе на иностранном языке;</w:t>
            </w:r>
          </w:p>
          <w:p w14:paraId="216B015A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международного коммерческого арбитража;</w:t>
            </w:r>
            <w:r>
              <w:rPr>
                <w:rFonts w:hint="default" w:ascii="Times New Roman" w:hAnsi="Times New Roman"/>
                <w:sz w:val="24"/>
                <w:lang w:val="ru-RU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lang w:val="ru-RU"/>
              </w:rPr>
              <w:t>- способностью к организации и управлению работой исследовательского коллектива при решении исследовательских задач в области международного коммерческого арбитража;</w:t>
            </w:r>
          </w:p>
          <w:p w14:paraId="56383B70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 актуальными методами проведения научных исследований и решения исследовательских задач в области международного коммерческого арбитража.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710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Международный коммерческий арбитраж, как способ рассмотрения внешнеэкономических споров.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F2C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1.Сложившийся российский опыт порядка рассмотрения споров по внешнеэкономическим сделкам и возможности его использования в настоящее время.</w:t>
            </w:r>
          </w:p>
          <w:p w14:paraId="12414E2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Значение условий о порядке рассмотрения споров на стадии ведения переговоров по инвестиционным проектам.</w:t>
            </w:r>
          </w:p>
          <w:p w14:paraId="3B3159E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3.Особенности использования МКА для инвестиционных проектов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международного коммерческого арбитража и процедура рассмотрения спора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3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иска в МКА. Реакция на уведомление об иске, поданным в МКА.</w:t>
            </w:r>
          </w:p>
          <w:p w14:paraId="646AF5E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2.Представительство истца и представительство ответчика в процессе.</w:t>
            </w:r>
          </w:p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3.Особенности ведения дела в МКА.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5666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029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6045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2CF83E5B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ascii="Times New Roman" w:hAnsi="Times New Roman"/>
          <w:sz w:val="24"/>
          <w:szCs w:val="24"/>
        </w:rPr>
      </w:pPr>
      <w:bookmarkStart w:id="12" w:name="_GoBack"/>
      <w:r>
        <w:rPr>
          <w:rFonts w:ascii="Times New Roman" w:hAnsi="Times New Roman"/>
          <w:sz w:val="24"/>
          <w:szCs w:val="24"/>
        </w:rPr>
        <w:t>Сложившийся российский опыт порядка рассмотрения споров по внешнеэкономическим сделкам и возможности его использования в настоящее время.</w:t>
      </w:r>
    </w:p>
    <w:p w14:paraId="5070218C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условий о порядке рассмотрения споров на стадии ведения переговоров по инвестиционным проектам.</w:t>
      </w:r>
    </w:p>
    <w:p w14:paraId="79915F6F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использования МКА для инвестиционных проектов.</w:t>
      </w:r>
    </w:p>
    <w:p w14:paraId="36ADEC9C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иска в МКА. Реакция на уведомление об иске, поданным в МКА.</w:t>
      </w:r>
    </w:p>
    <w:p w14:paraId="4FF1306C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Представительство истца и представительство ответчика в процессе.</w:t>
      </w:r>
    </w:p>
    <w:p w14:paraId="2DA0590E">
      <w:pPr>
        <w:widowControl w:val="0"/>
        <w:numPr>
          <w:ilvl w:val="0"/>
          <w:numId w:val="2"/>
        </w:numPr>
        <w:tabs>
          <w:tab w:val="clear" w:pos="425"/>
        </w:tabs>
        <w:spacing w:after="0" w:line="240" w:lineRule="auto"/>
        <w:ind w:left="5" w:leftChars="0" w:hanging="5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Особенности ведения дела в МКА.</w:t>
      </w:r>
    </w:p>
    <w:bookmarkEnd w:id="12"/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F010000">
      <w:pPr>
        <w:pStyle w:val="70"/>
        <w:numPr>
          <w:ilvl w:val="1"/>
          <w:numId w:val="1"/>
        </w:numPr>
        <w:spacing w:after="0" w:line="240" w:lineRule="auto"/>
        <w:ind w:left="1448" w:leftChars="0" w:hanging="720" w:firstLineChars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638F0279">
      <w:pPr>
        <w:pStyle w:val="70"/>
        <w:numPr>
          <w:ilvl w:val="0"/>
          <w:numId w:val="0"/>
        </w:numPr>
        <w:spacing w:after="0" w:line="240" w:lineRule="auto"/>
        <w:ind w:left="728" w:leftChars="0" w:right="0" w:rightChars="0"/>
        <w:contextualSpacing w:val="0"/>
        <w:jc w:val="both"/>
        <w:rPr>
          <w:rFonts w:ascii="Times New Roman" w:hAnsi="Times New Roman"/>
          <w:b/>
          <w:sz w:val="24"/>
        </w:rPr>
      </w:pPr>
    </w:p>
    <w:p w14:paraId="D0010000">
      <w:pPr>
        <w:spacing w:after="0" w:line="240" w:lineRule="auto"/>
        <w:ind w:left="0" w:firstLine="709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</w:p>
    <w:p w14:paraId="D1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>Вопросы к зачету</w:t>
      </w:r>
      <w:r>
        <w:rPr>
          <w:rFonts w:ascii="Times New Roman" w:hAnsi="Times New Roman"/>
          <w:sz w:val="24"/>
          <w:highlight w:val="white"/>
        </w:rPr>
        <w:t>:</w:t>
      </w:r>
    </w:p>
    <w:p w14:paraId="5825D6E9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споры по инвестиционному проекту и ограничения использования МКА, как способа их рассмотрения.</w:t>
      </w:r>
    </w:p>
    <w:p w14:paraId="5A0519DF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потенциального истца при отсутствии арбитражной оговорки в контракте.</w:t>
      </w:r>
    </w:p>
    <w:p w14:paraId="1B991918">
      <w:pPr>
        <w:numPr>
          <w:ilvl w:val="0"/>
          <w:numId w:val="3"/>
        </w:numPr>
        <w:spacing w:after="0" w:line="240" w:lineRule="auto"/>
        <w:ind w:left="425" w:leftChars="0" w:firstLine="993" w:firstLineChars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Возможные действия истца, выигравшего дело в МКА, если ответчик не исполняет решение и не имеет имущества в стране, где состоялось рассмотрение дела.</w:t>
      </w:r>
    </w:p>
    <w:p w14:paraId="4DFD398A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353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2041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4A9CF"/>
    <w:multiLevelType w:val="multilevel"/>
    <w:tmpl w:val="81C4A9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75EA0D1B"/>
    <w:multiLevelType w:val="multilevel"/>
    <w:tmpl w:val="75EA0D1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993" w:firstLineChars="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303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746721A"/>
    <w:rsid w:val="2EF97ADA"/>
    <w:rsid w:val="31065848"/>
    <w:rsid w:val="49916873"/>
    <w:rsid w:val="4C7B2999"/>
    <w:rsid w:val="53330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