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</w:t>
      </w:r>
    </w:p>
    <w:p w14:paraId="0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4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b/>
          <w:spacing w:val="20"/>
          <w:sz w:val="28"/>
        </w:rPr>
        <w:t xml:space="preserve">Международный коммерческий арбитраж </w:t>
      </w:r>
    </w:p>
    <w:p w14:paraId="15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1197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6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B000000">
            <w:pPr>
              <w:pStyle w:val="49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Частно</w:t>
            </w:r>
            <w:r>
              <w:rPr>
                <w:rFonts w:ascii="Times New Roman" w:hAnsi="Times New Roman"/>
                <w:sz w:val="28"/>
              </w:rPr>
              <w:t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</w:tc>
      </w:tr>
      <w:tr w14:paraId="373A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  <w:vAlign w:val="top"/>
          </w:tcPr>
          <w:p w14:paraId="52C224EB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6FCCAF03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4E703629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3A230532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101A75D7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4024307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174F4F2A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4FF9E07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2E93AF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7CB1DA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40DEA7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66916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983C3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 w14:paraId="52019568">
      <w:pPr>
        <w:pStyle w:val="29"/>
        <w:tabs>
          <w:tab w:val="right" w:leader="dot" w:pos="9354"/>
          <w:tab w:val="clear" w:pos="142"/>
          <w:tab w:val="clear" w:pos="9639"/>
        </w:tabs>
      </w:pPr>
      <w:bookmarkStart w:id="12" w:name="_GoBack"/>
      <w:bookmarkEnd w:id="12"/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_Toc12000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_Toc12000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BB04654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_Toc13499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_Toc13499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926EA24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_Toc27423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_Toc27423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0F61C2B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_Toc8389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_Toc8389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B1BE87B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_Toc9035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>Перечень заданий по дисциплине</w:t>
      </w:r>
      <w:r>
        <w:tab/>
      </w:r>
      <w:r>
        <w:fldChar w:fldCharType="begin"/>
      </w:r>
      <w:r>
        <w:instrText xml:space="preserve"> PAGEREF _Toc9035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F5F65B9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_Toc26499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_Toc26499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42120F1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_Toc21747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_Toc21747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20A62BF">
      <w:r>
        <w:fldChar w:fldCharType="end"/>
      </w:r>
    </w:p>
    <w:p w14:paraId="3B000000">
      <w:pPr>
        <w:keepLines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38C1E1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bookmarkStart w:id="2" w:name="_Toc120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bookmarkEnd w:id="2"/>
    </w:p>
    <w:p w14:paraId="34FA72A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2ABCA3EB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«Международный коммерческий арбитраж» (далее - МКА).</w:t>
      </w:r>
      <w:r>
        <w:rPr>
          <w:rFonts w:ascii="Times New Roman" w:hAnsi="Times New Roman"/>
          <w:sz w:val="24"/>
        </w:rPr>
        <w:t xml:space="preserve"> </w:t>
      </w:r>
    </w:p>
    <w:p w14:paraId="49FCDB1E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7852E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 w14:paraId="36B1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488E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356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260E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Знать:</w:t>
            </w:r>
          </w:p>
          <w:p w14:paraId="5D77849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области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>международного коммерческого арбитража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</w:rPr>
              <w:t xml:space="preserve"> в том числе с использованием новейших информационно-коммуникационных технологи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й</w:t>
            </w:r>
          </w:p>
        </w:tc>
      </w:tr>
      <w:tr w14:paraId="29E7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C99B7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</w:p>
          <w:p w14:paraId="7046EE87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вести научную дискуссию; анализировать и обобщать материалы правоприменительной практики, статистические и эмпирические данные в области международного коммерческого арбитража;</w:t>
            </w:r>
          </w:p>
          <w:p w14:paraId="2BE63A56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международного коммерческого арбитража;</w:t>
            </w:r>
          </w:p>
          <w:p w14:paraId="6787A14E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международного коммерческого арбитража;</w:t>
            </w:r>
          </w:p>
          <w:p w14:paraId="53A381F6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примененять нормы, регулирующие деятельность международного коммерческого арбитража, при рассмотрении споров.</w:t>
            </w:r>
          </w:p>
        </w:tc>
      </w:tr>
      <w:tr w14:paraId="1540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E3A76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Владеть:</w:t>
            </w:r>
          </w:p>
          <w:p w14:paraId="2400B1A6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      </w:r>
          </w:p>
          <w:p w14:paraId="6EA0E19D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методами и приемами проведения научных исследований в области международного коммерческого арбитража;</w:t>
            </w:r>
          </w:p>
          <w:p w14:paraId="2ACD9A2D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методами и технологиями коммуникации, анализа и оценки современных научных достижений, в области международного коммерческого арбитража в том числе на иностранном языке;</w:t>
            </w:r>
          </w:p>
          <w:p w14:paraId="216B015A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  <w:br w:type="textWrapping"/>
            </w:r>
            <w:r>
              <w:rPr>
                <w:rFonts w:hint="default" w:ascii="Times New Roman" w:hAnsi="Times New Roman"/>
                <w:sz w:val="24"/>
                <w:lang w:val="ru-RU"/>
              </w:rPr>
              <w:t>- способностью к организации и управлению работой исследовательского коллектива при решении исследовательских задач в области международного коммерческого арбитража;</w:t>
            </w:r>
          </w:p>
          <w:p w14:paraId="56383B70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актуальными методами проведения научных исследований и решения исследовательских задач в области международного коммерческого арбитража.</w:t>
            </w:r>
          </w:p>
        </w:tc>
      </w:tr>
    </w:tbl>
    <w:p w14:paraId="8D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70"/>
        <w:tabs>
          <w:tab w:val="left" w:pos="1418"/>
          <w:tab w:val="left" w:pos="1560"/>
        </w:tabs>
        <w:spacing w:after="0" w:line="240" w:lineRule="auto"/>
        <w:ind w:left="0" w:leftChars="0" w:right="-1" w:firstLine="0" w:firstLineChars="0"/>
        <w:jc w:val="both"/>
        <w:outlineLvl w:val="0"/>
        <w:rPr>
          <w:rFonts w:ascii="Times New Roman" w:hAnsi="Times New Roman"/>
          <w:sz w:val="24"/>
        </w:rPr>
      </w:pPr>
    </w:p>
    <w:p w14:paraId="91000000">
      <w:pPr>
        <w:pStyle w:val="7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13499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9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>с заданными критериями.</w:t>
      </w:r>
    </w:p>
    <w:p w14:paraId="9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19"/>
        <w:gridCol w:w="2438"/>
        <w:gridCol w:w="1560"/>
        <w:gridCol w:w="1347"/>
      </w:tblGrid>
      <w:tr w14:paraId="7BBE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125"/>
              <w:spacing w:line="240" w:lineRule="auto"/>
              <w:rPr>
                <w:sz w:val="22"/>
              </w:rPr>
            </w:pPr>
            <w:r>
              <w:rPr>
                <w:rStyle w:val="110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Объекты оценивания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rStyle w:val="82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Форма проведения оценки</w:t>
            </w:r>
          </w:p>
          <w:p w14:paraId="9E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9F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A0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A1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</w:tc>
      </w:tr>
      <w:tr w14:paraId="03D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5</w:t>
            </w:r>
          </w:p>
        </w:tc>
      </w:tr>
      <w:tr w14:paraId="04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ACFD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Тема</w:t>
            </w:r>
            <w:r>
              <w:rPr>
                <w:rFonts w:hint="default" w:ascii="Times New Roman" w:hAnsi="Times New Roman"/>
                <w:lang w:val="ru-RU"/>
              </w:rPr>
              <w:t xml:space="preserve"> 1.</w:t>
            </w:r>
          </w:p>
          <w:p w14:paraId="2D398746">
            <w:pPr>
              <w:widowControl w:val="0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>Международный коммерческий арбитраж, как способ рассмотрения внешнеэкономических споров.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8F2C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1.Сложившийся российский опыт порядка рассмотрения споров по внешнеэкономическим сделкам и возможности его использования в настоящее время.</w:t>
            </w:r>
          </w:p>
          <w:p w14:paraId="12414E2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Значение условий о порядке рассмотрения споров на стадии ведения переговоров по инвестиционным проектам.</w:t>
            </w:r>
          </w:p>
          <w:p w14:paraId="3B3159E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3.Особенности использования МКА для инвестиционных проектов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C3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B78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</w:t>
            </w:r>
          </w:p>
          <w:p w14:paraId="AD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международного коммерческого арбитража и процедура рассмотрения спора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D3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иска в МКА. Реакция на уведомление об иске, поданным в МКА.</w:t>
            </w:r>
          </w:p>
          <w:p w14:paraId="646AF5E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2.Представительство истца и представительство ответчика в процессе.</w:t>
            </w:r>
          </w:p>
          <w:p w14:paraId="5A14140D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3.Особенности ведения дела в МКА.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1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1CCC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8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</w:t>
            </w:r>
          </w:p>
          <w:p w14:paraId="C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</w:tbl>
    <w:p w14:paraId="CB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CC00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27423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</w:p>
    <w:p w14:paraId="CD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E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F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232F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3B81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224A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0CA1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44DF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обучающегося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6D90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2315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52C9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094CA5D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2646821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01228E8B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4633032E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61013808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4335FC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77C79E47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3DDD98A5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4275009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13413F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FAE1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1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8389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0A01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7EF80758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A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1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BF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233C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7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5221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07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6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4A683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6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4FF64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D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B6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0E7E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41"/>
        <w:widowControl/>
        <w:spacing w:line="240" w:lineRule="auto"/>
        <w:ind w:left="0" w:firstLine="709"/>
        <w:rPr>
          <w:rStyle w:val="82"/>
          <w:sz w:val="24"/>
        </w:rPr>
      </w:pPr>
      <w:r>
        <w:rPr>
          <w:rStyle w:val="82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C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420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3052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 w14:paraId="686B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B010000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7" w:name="_Toc9035"/>
      <w:r>
        <w:rPr>
          <w:rFonts w:hint="default" w:ascii="Times New Roman" w:hAnsi="Times New Roman" w:cs="Times New Roman"/>
          <w:b/>
          <w:sz w:val="24"/>
          <w:szCs w:val="24"/>
        </w:rPr>
        <w:t>Перечень заданий по дисциплине</w:t>
      </w:r>
      <w:bookmarkEnd w:id="7"/>
    </w:p>
    <w:p w14:paraId="67710164">
      <w:pPr>
        <w:pStyle w:val="70"/>
        <w:numPr>
          <w:ilvl w:val="0"/>
          <w:numId w:val="0"/>
        </w:numPr>
        <w:tabs>
          <w:tab w:val="left" w:pos="993"/>
        </w:tabs>
        <w:spacing w:after="0" w:line="240" w:lineRule="auto"/>
        <w:ind w:left="728" w:leftChars="0" w:right="-1" w:rightChar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447BEA3">
      <w:pPr>
        <w:numPr>
          <w:ilvl w:val="1"/>
          <w:numId w:val="1"/>
        </w:numPr>
        <w:tabs>
          <w:tab w:val="left" w:pos="0"/>
        </w:tabs>
        <w:ind w:left="1448" w:leftChars="0" w:hanging="72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</w:t>
      </w:r>
    </w:p>
    <w:p w14:paraId="2CF83E5B">
      <w:pPr>
        <w:widowControl w:val="0"/>
        <w:numPr>
          <w:ilvl w:val="0"/>
          <w:numId w:val="2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Сложившийся российский опыт порядка рассмотрения споров по внешнеэкономическим сделкам и возможности его использования в настоящее время.</w:t>
      </w:r>
    </w:p>
    <w:p w14:paraId="5070218C">
      <w:pPr>
        <w:widowControl w:val="0"/>
        <w:numPr>
          <w:ilvl w:val="0"/>
          <w:numId w:val="2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Значение условий о порядке рассмотрения споров на стадии ведения переговоров по инвестиционным проектам.</w:t>
      </w:r>
    </w:p>
    <w:p w14:paraId="79915F6F">
      <w:pPr>
        <w:widowControl w:val="0"/>
        <w:numPr>
          <w:ilvl w:val="0"/>
          <w:numId w:val="2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использования МКА для инвестиционных проектов.</w:t>
      </w:r>
    </w:p>
    <w:p w14:paraId="36ADEC9C">
      <w:pPr>
        <w:widowControl w:val="0"/>
        <w:numPr>
          <w:ilvl w:val="0"/>
          <w:numId w:val="2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Подготовка иска в МКА. Реакция на уведомление об иске, поданным в МКА.</w:t>
      </w:r>
    </w:p>
    <w:p w14:paraId="4FF1306C">
      <w:pPr>
        <w:widowControl w:val="0"/>
        <w:numPr>
          <w:ilvl w:val="0"/>
          <w:numId w:val="2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Представительство истца и представительство ответчика в процессе.</w:t>
      </w:r>
    </w:p>
    <w:p w14:paraId="2DA0590E">
      <w:pPr>
        <w:widowControl w:val="0"/>
        <w:numPr>
          <w:ilvl w:val="0"/>
          <w:numId w:val="2"/>
        </w:numPr>
        <w:spacing w:after="0" w:line="240" w:lineRule="auto"/>
        <w:ind w:left="425" w:leftChars="0" w:firstLine="993" w:firstLineChars="0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</w:rPr>
        <w:t>Особенности ведения дела в МКА.</w:t>
      </w:r>
    </w:p>
    <w:p w14:paraId="CD010000">
      <w:pPr>
        <w:pStyle w:val="70"/>
        <w:spacing w:after="0" w:line="240" w:lineRule="auto"/>
        <w:ind w:left="728" w:firstLine="0"/>
        <w:contextualSpacing w:val="0"/>
        <w:jc w:val="center"/>
        <w:rPr>
          <w:rFonts w:ascii="Times New Roman" w:hAnsi="Times New Roman"/>
          <w:b/>
          <w:sz w:val="24"/>
        </w:rPr>
      </w:pPr>
    </w:p>
    <w:p w14:paraId="CF010000">
      <w:pPr>
        <w:pStyle w:val="70"/>
        <w:numPr>
          <w:ilvl w:val="1"/>
          <w:numId w:val="1"/>
        </w:numPr>
        <w:spacing w:after="0" w:line="240" w:lineRule="auto"/>
        <w:ind w:left="1448" w:leftChars="0" w:hanging="720" w:firstLineChars="0"/>
        <w:contextualSpacing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Промежуточная аттестация</w:t>
      </w:r>
    </w:p>
    <w:p w14:paraId="638F0279">
      <w:pPr>
        <w:pStyle w:val="70"/>
        <w:numPr>
          <w:ilvl w:val="0"/>
          <w:numId w:val="0"/>
        </w:numPr>
        <w:spacing w:after="0" w:line="240" w:lineRule="auto"/>
        <w:ind w:left="728" w:leftChars="0" w:right="0" w:rightChars="0"/>
        <w:contextualSpacing w:val="0"/>
        <w:jc w:val="both"/>
        <w:rPr>
          <w:rFonts w:ascii="Times New Roman" w:hAnsi="Times New Roman"/>
          <w:b/>
          <w:sz w:val="24"/>
        </w:rPr>
      </w:pPr>
    </w:p>
    <w:p w14:paraId="D0010000">
      <w:pPr>
        <w:spacing w:after="0" w:line="240" w:lineRule="auto"/>
        <w:ind w:left="0" w:firstLine="709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highlight w:val="white"/>
        </w:rPr>
        <w:t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/>
          <w:sz w:val="24"/>
          <w:highlight w:val="white"/>
          <w:lang w:val="ru-RU"/>
        </w:rPr>
        <w:t>/письменного опроса</w:t>
      </w:r>
      <w:r>
        <w:rPr>
          <w:rFonts w:ascii="Times New Roman" w:hAnsi="Times New Roman"/>
          <w:sz w:val="24"/>
          <w:highlight w:val="white"/>
        </w:rPr>
        <w:t>.</w:t>
      </w:r>
      <w:r>
        <w:rPr>
          <w:rFonts w:hint="default" w:ascii="Times New Roman" w:hAnsi="Times New Roman"/>
          <w:sz w:val="24"/>
          <w:lang w:val="ru-RU"/>
        </w:rPr>
        <w:t xml:space="preserve"> </w:t>
      </w:r>
    </w:p>
    <w:p w14:paraId="D101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hint="default" w:ascii="Times New Roman" w:hAnsi="Times New Roman"/>
          <w:sz w:val="24"/>
          <w:lang w:val="ru-RU"/>
        </w:rPr>
        <w:t>Вопросы к зачету</w:t>
      </w:r>
      <w:r>
        <w:rPr>
          <w:rFonts w:ascii="Times New Roman" w:hAnsi="Times New Roman"/>
          <w:sz w:val="24"/>
          <w:highlight w:val="white"/>
        </w:rPr>
        <w:t>:</w:t>
      </w:r>
    </w:p>
    <w:p w14:paraId="5825D6E9">
      <w:pPr>
        <w:numPr>
          <w:ilvl w:val="0"/>
          <w:numId w:val="3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Возможные споры по инвестиционному проекту и ограничения использования МКА, как способа их рассмотрения.</w:t>
      </w:r>
    </w:p>
    <w:p w14:paraId="5A0519DF">
      <w:pPr>
        <w:numPr>
          <w:ilvl w:val="0"/>
          <w:numId w:val="3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Возможные действия потенциального истца при отсутствии арбитражной оговорки в контракте.</w:t>
      </w:r>
    </w:p>
    <w:p w14:paraId="1B991918">
      <w:pPr>
        <w:numPr>
          <w:ilvl w:val="0"/>
          <w:numId w:val="3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Возможные действия истца, выигравшего дело в МКА, если ответчик не исполняет решение и не имеет имущества в стране, где состоялось рассмотрение дела.</w:t>
      </w:r>
    </w:p>
    <w:p w14:paraId="4DFD398A">
      <w:pPr>
        <w:pStyle w:val="115"/>
        <w:tabs>
          <w:tab w:val="left" w:pos="775"/>
        </w:tabs>
        <w:jc w:val="both"/>
        <w:rPr>
          <w:i/>
        </w:rPr>
      </w:pPr>
    </w:p>
    <w:p w14:paraId="E3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26499"/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  <w:bookmarkEnd w:id="8"/>
    </w:p>
    <w:p w14:paraId="E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418C51C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82"/>
          <w:sz w:val="24"/>
        </w:rPr>
        <w:t xml:space="preserve"> представлена паспортом фонда оценочных средств по дисциплин</w:t>
      </w:r>
      <w:r>
        <w:rPr>
          <w:rStyle w:val="82"/>
          <w:sz w:val="24"/>
          <w:lang w:val="ru-RU"/>
        </w:rPr>
        <w:t>е</w:t>
      </w:r>
      <w:r>
        <w:rPr>
          <w:rStyle w:val="82"/>
          <w:rFonts w:hint="default"/>
          <w:sz w:val="24"/>
          <w:lang w:val="ru-RU"/>
        </w:rPr>
        <w:t>.</w:t>
      </w:r>
      <w:r>
        <w:t>.</w:t>
      </w:r>
    </w:p>
    <w:p w14:paraId="E6010000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</w:p>
    <w:p w14:paraId="E7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Порядок проведения текущего, рубежного контроля</w:t>
      </w:r>
      <w:r>
        <w:rPr>
          <w:rStyle w:val="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E8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Текущий контроль</w:t>
      </w:r>
      <w:r>
        <w:rPr>
          <w:rStyle w:val="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E9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EA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письменных работ;</w:t>
      </w:r>
    </w:p>
    <w:p w14:paraId="F0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F3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прохождения контрольных точек по дисциплине (при использовании балльно-рейтинговой системы).</w:t>
      </w:r>
    </w:p>
    <w:p w14:paraId="F5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Промежуточная аттестация</w:t>
      </w:r>
      <w:r>
        <w:rPr>
          <w:rStyle w:val="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F6010000">
      <w:pPr>
        <w:pStyle w:val="41"/>
        <w:widowControl/>
        <w:spacing w:line="240" w:lineRule="auto"/>
        <w:ind w:left="0" w:firstLine="0"/>
        <w:rPr>
          <w:rStyle w:val="82"/>
          <w:sz w:val="24"/>
        </w:rPr>
      </w:pPr>
    </w:p>
    <w:p w14:paraId="F7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bookmarkStart w:id="9" w:name="_Toc21747"/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  <w:bookmarkEnd w:id="9"/>
    </w:p>
    <w:p w14:paraId="F8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F9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0"/>
    </w:p>
    <w:p w14:paraId="FA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60"/>
        <w:gridCol w:w="1984"/>
        <w:gridCol w:w="5925"/>
      </w:tblGrid>
      <w:tr w14:paraId="4F8D5A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  <w:tblHeader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E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F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28DA487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39AE04B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731CAE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2F40FC9"/>
        </w:tc>
      </w:tr>
      <w:tr w14:paraId="6BFCFF2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48CB7C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AB59C3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53BDDF"/>
        </w:tc>
      </w:tr>
      <w:tr w14:paraId="3F699C2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B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 w14:paraId="16E7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26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27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483B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8C14"/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5C9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5FF9D"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35786"/>
        </w:tc>
      </w:tr>
      <w:tr w14:paraId="3841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3A8F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E088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114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4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32D0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BA21F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6A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11" w:name="_Hlk504003203"/>
    </w:p>
    <w:p w14:paraId="5B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3BE767A1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  <w:tblHeader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125E9C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0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8B2FF3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302000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564D93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6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69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A70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7"/>
      <w:jc w:val="right"/>
    </w:pPr>
  </w:p>
  <w:p w14:paraId="04000000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62"/>
      <w:keepNext/>
      <w:keepLines/>
      <w:spacing w:line="240" w:lineRule="auto"/>
      <w:ind w:left="23" w:firstLine="740"/>
      <w:jc w:val="right"/>
      <w:rPr>
        <w:rStyle w:val="51"/>
        <w:b w:val="0"/>
      </w:rPr>
    </w:pPr>
  </w:p>
  <w:p w14:paraId="02000000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4A9CF"/>
    <w:multiLevelType w:val="multilevel"/>
    <w:tmpl w:val="81C4A9C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firstLine="993" w:firstLineChars="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</w:abstractNum>
  <w:abstractNum w:abstractNumId="1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3">
    <w:nsid w:val="0248C179"/>
    <w:multiLevelType w:val="multilevel"/>
    <w:tmpl w:val="0248C179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6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nsid w:val="75EA0D1B"/>
    <w:multiLevelType w:val="multilevel"/>
    <w:tmpl w:val="75EA0D1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firstLine="993" w:firstLineChars="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DA4366"/>
    <w:rsid w:val="231709E7"/>
    <w:rsid w:val="2746721A"/>
    <w:rsid w:val="2EF97ADA"/>
    <w:rsid w:val="31065848"/>
    <w:rsid w:val="32CF64D5"/>
    <w:rsid w:val="49916873"/>
    <w:rsid w:val="4C7B2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c 1"/>
    <w:basedOn w:val="1"/>
    <w:next w:val="1"/>
    <w:qFormat/>
    <w:uiPriority w:val="39"/>
    <w:pPr>
      <w:keepLines/>
      <w:widowControl w:val="0"/>
      <w:tabs>
        <w:tab w:val="left" w:pos="142"/>
        <w:tab w:val="left" w:leader="dot" w:pos="9639"/>
      </w:tabs>
      <w:spacing w:after="0" w:line="240" w:lineRule="auto"/>
    </w:pPr>
    <w:rPr>
      <w:rFonts w:ascii="Times New Roman" w:hAnsi="Times New Roman"/>
      <w:caps/>
      <w:sz w:val="24"/>
    </w:rPr>
  </w:style>
  <w:style w:type="paragraph" w:styleId="3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4"/>
    </w:rPr>
  </w:style>
  <w:style w:type="paragraph" w:styleId="32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39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Style5"/>
    <w:basedOn w:val="1"/>
    <w:link w:val="4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2">
    <w:name w:val="Style51"/>
    <w:link w:val="41"/>
    <w:qFormat/>
    <w:uiPriority w:val="0"/>
    <w:rPr>
      <w:rFonts w:ascii="Times New Roman" w:hAnsi="Times New Roman"/>
      <w:sz w:val="24"/>
    </w:rPr>
  </w:style>
  <w:style w:type="paragraph" w:styleId="43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44">
    <w:name w:val="Style58"/>
    <w:basedOn w:val="1"/>
    <w:link w:val="45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5">
    <w:name w:val="Style581"/>
    <w:link w:val="44"/>
    <w:qFormat/>
    <w:uiPriority w:val="0"/>
    <w:rPr>
      <w:rFonts w:ascii="Times New Roman" w:hAnsi="Times New Roman"/>
      <w:sz w:val="24"/>
    </w:rPr>
  </w:style>
  <w:style w:type="paragraph" w:customStyle="1" w:styleId="46">
    <w:name w:val="End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Endnote1"/>
    <w:link w:val="46"/>
    <w:qFormat/>
    <w:uiPriority w:val="0"/>
    <w:rPr>
      <w:sz w:val="20"/>
    </w:rPr>
  </w:style>
  <w:style w:type="paragraph" w:styleId="48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4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50">
    <w:name w:val="Заголовок №74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1">
    <w:name w:val="Заголовок №741"/>
    <w:link w:val="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2">
    <w:name w:val="Font Style1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3">
    <w:name w:val="Font Style131"/>
    <w:link w:val="52"/>
    <w:qFormat/>
    <w:uiPriority w:val="0"/>
    <w:rPr>
      <w:rFonts w:ascii="Times New Roman" w:hAnsi="Times New Roman"/>
      <w:sz w:val="26"/>
    </w:rPr>
  </w:style>
  <w:style w:type="paragraph" w:customStyle="1" w:styleId="54">
    <w:name w:val="Font Style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55">
    <w:name w:val="Font Style731"/>
    <w:link w:val="54"/>
    <w:qFormat/>
    <w:uiPriority w:val="0"/>
    <w:rPr>
      <w:rFonts w:ascii="Times New Roman" w:hAnsi="Times New Roman"/>
      <w:b/>
      <w:sz w:val="22"/>
    </w:rPr>
  </w:style>
  <w:style w:type="paragraph" w:customStyle="1" w:styleId="56">
    <w:name w:val="Table Paragraph"/>
    <w:basedOn w:val="1"/>
    <w:link w:val="57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7">
    <w:name w:val="Table Paragraph1"/>
    <w:link w:val="56"/>
    <w:qFormat/>
    <w:uiPriority w:val="0"/>
    <w:rPr>
      <w:rFonts w:ascii="Times New Roman" w:hAnsi="Times New Roman"/>
    </w:rPr>
  </w:style>
  <w:style w:type="paragraph" w:customStyle="1" w:styleId="58">
    <w:name w:val="Style64"/>
    <w:basedOn w:val="1"/>
    <w:link w:val="59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9">
    <w:name w:val="Style64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Основной текст (6)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1">
    <w:name w:val="Основной текст (6)31"/>
    <w:link w:val="60"/>
    <w:qFormat/>
    <w:uiPriority w:val="0"/>
    <w:rPr>
      <w:rFonts w:ascii="Times New Roman" w:hAnsi="Times New Roman"/>
      <w:highlight w:val="white"/>
    </w:rPr>
  </w:style>
  <w:style w:type="paragraph" w:customStyle="1" w:styleId="62">
    <w:name w:val="Заголовок №71"/>
    <w:basedOn w:val="1"/>
    <w:link w:val="63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3">
    <w:name w:val="Заголовок №711"/>
    <w:link w:val="62"/>
    <w:qFormat/>
    <w:uiPriority w:val="0"/>
    <w:rPr>
      <w:rFonts w:ascii="Times New Roman" w:hAnsi="Times New Roman"/>
      <w:b/>
      <w:sz w:val="27"/>
    </w:rPr>
  </w:style>
  <w:style w:type="paragraph" w:customStyle="1" w:styleId="64">
    <w:name w:val="Font Style77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65">
    <w:name w:val="Font Style771"/>
    <w:link w:val="64"/>
    <w:qFormat/>
    <w:uiPriority w:val="0"/>
    <w:rPr>
      <w:rFonts w:ascii="Times New Roman" w:hAnsi="Times New Roman"/>
      <w:sz w:val="22"/>
    </w:rPr>
  </w:style>
  <w:style w:type="paragraph" w:customStyle="1" w:styleId="66">
    <w:name w:val="Заголовок №72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67">
    <w:name w:val="Заголовок №721"/>
    <w:link w:val="66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68">
    <w:name w:val="WW-Базовый"/>
    <w:link w:val="69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9">
    <w:name w:val="WW-Базовый1"/>
    <w:link w:val="68"/>
    <w:qFormat/>
    <w:uiPriority w:val="0"/>
    <w:rPr>
      <w:rFonts w:ascii="Times New Roman" w:hAnsi="Times New Roman"/>
      <w:color w:val="000000"/>
      <w:sz w:val="24"/>
    </w:rPr>
  </w:style>
  <w:style w:type="paragraph" w:styleId="70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71">
    <w:name w:val="Subtle Reference"/>
    <w:link w:val="7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72">
    <w:name w:val="Subtle Reference1"/>
    <w:link w:val="71"/>
    <w:qFormat/>
    <w:uiPriority w:val="0"/>
    <w:rPr>
      <w:smallCaps/>
      <w:color w:val="DD8047"/>
      <w:u w:val="single"/>
    </w:rPr>
  </w:style>
  <w:style w:type="paragraph" w:customStyle="1" w:styleId="73">
    <w:name w:val="Основной текст + Курсив2"/>
    <w:link w:val="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74">
    <w:name w:val="Основной текст + Курсив21"/>
    <w:link w:val="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75">
    <w:name w:val="Основной текст (5) + Курсив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76">
    <w:name w:val="Основной текст (5) + Курсив1"/>
    <w:link w:val="75"/>
    <w:qFormat/>
    <w:uiPriority w:val="0"/>
    <w:rPr>
      <w:rFonts w:ascii="Times New Roman" w:hAnsi="Times New Roman"/>
      <w:i/>
      <w:highlight w:val="white"/>
    </w:rPr>
  </w:style>
  <w:style w:type="paragraph" w:customStyle="1" w:styleId="77">
    <w:name w:val="Subtle Emphasis"/>
    <w:link w:val="7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78">
    <w:name w:val="Subtle Emphasis1"/>
    <w:link w:val="77"/>
    <w:qFormat/>
    <w:uiPriority w:val="0"/>
    <w:rPr>
      <w:i/>
      <w:color w:val="808080"/>
    </w:rPr>
  </w:style>
  <w:style w:type="paragraph" w:customStyle="1" w:styleId="79">
    <w:name w:val="Основной текст (5)"/>
    <w:basedOn w:val="1"/>
    <w:link w:val="80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80">
    <w:name w:val="Основной текст (5)1"/>
    <w:link w:val="79"/>
    <w:qFormat/>
    <w:uiPriority w:val="0"/>
    <w:rPr>
      <w:rFonts w:ascii="Times New Roman" w:hAnsi="Times New Roman"/>
      <w:sz w:val="20"/>
    </w:rPr>
  </w:style>
  <w:style w:type="paragraph" w:customStyle="1" w:styleId="81">
    <w:name w:val="Font Style76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2">
    <w:name w:val="Font Style761"/>
    <w:link w:val="81"/>
    <w:qFormat/>
    <w:uiPriority w:val="0"/>
    <w:rPr>
      <w:rFonts w:ascii="Times New Roman" w:hAnsi="Times New Roman"/>
      <w:sz w:val="26"/>
    </w:rPr>
  </w:style>
  <w:style w:type="paragraph" w:customStyle="1" w:styleId="83">
    <w:name w:val="Footnote"/>
    <w:basedOn w:val="1"/>
    <w:link w:val="84"/>
    <w:qFormat/>
    <w:uiPriority w:val="0"/>
    <w:pPr>
      <w:spacing w:after="0" w:line="240" w:lineRule="auto"/>
    </w:pPr>
    <w:rPr>
      <w:sz w:val="20"/>
    </w:rPr>
  </w:style>
  <w:style w:type="character" w:customStyle="1" w:styleId="84">
    <w:name w:val="Footnote1"/>
    <w:link w:val="83"/>
    <w:qFormat/>
    <w:uiPriority w:val="0"/>
    <w:rPr>
      <w:sz w:val="20"/>
    </w:rPr>
  </w:style>
  <w:style w:type="paragraph" w:customStyle="1" w:styleId="85">
    <w:name w:val="Intense Reference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86">
    <w:name w:val="Intense Reference1"/>
    <w:link w:val="85"/>
    <w:qFormat/>
    <w:uiPriority w:val="0"/>
    <w:rPr>
      <w:b/>
      <w:smallCaps/>
      <w:color w:val="DD8047"/>
      <w:spacing w:val="5"/>
      <w:u w:val="single"/>
    </w:rPr>
  </w:style>
  <w:style w:type="paragraph" w:customStyle="1" w:styleId="87">
    <w:name w:val="Header and Footer"/>
    <w:link w:val="8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88">
    <w:name w:val="Header and Footer1"/>
    <w:link w:val="87"/>
    <w:qFormat/>
    <w:uiPriority w:val="0"/>
    <w:rPr>
      <w:rFonts w:ascii="XO Thames" w:hAnsi="XO Thames"/>
      <w:sz w:val="20"/>
    </w:rPr>
  </w:style>
  <w:style w:type="paragraph" w:customStyle="1" w:styleId="89">
    <w:name w:val="Заголовок №73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90">
    <w:name w:val="Заголовок №731"/>
    <w:link w:val="8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91">
    <w:name w:val="Стиль1"/>
    <w:basedOn w:val="1"/>
    <w:link w:val="92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92">
    <w:name w:val="Стиль11"/>
    <w:link w:val="91"/>
    <w:qFormat/>
    <w:uiPriority w:val="0"/>
    <w:rPr>
      <w:rFonts w:ascii="Arial" w:hAnsi="Arial"/>
      <w:sz w:val="24"/>
    </w:rPr>
  </w:style>
  <w:style w:type="paragraph" w:customStyle="1" w:styleId="93">
    <w:name w:val="TOC Heading"/>
    <w:basedOn w:val="2"/>
    <w:next w:val="1"/>
    <w:link w:val="94"/>
    <w:qFormat/>
    <w:uiPriority w:val="0"/>
    <w:pPr>
      <w:outlineLvl w:val="8"/>
    </w:pPr>
  </w:style>
  <w:style w:type="character" w:customStyle="1" w:styleId="94">
    <w:name w:val="TOC Heading1"/>
    <w:link w:val="93"/>
    <w:qFormat/>
    <w:uiPriority w:val="0"/>
  </w:style>
  <w:style w:type="paragraph" w:customStyle="1" w:styleId="95">
    <w:name w:val="Основной текст (39)1"/>
    <w:basedOn w:val="1"/>
    <w:link w:val="96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96">
    <w:name w:val="Основной текст (39)11"/>
    <w:link w:val="95"/>
    <w:qFormat/>
    <w:uiPriority w:val="0"/>
    <w:rPr>
      <w:rFonts w:ascii="Times New Roman" w:hAnsi="Times New Roman"/>
      <w:i/>
      <w:sz w:val="20"/>
    </w:rPr>
  </w:style>
  <w:style w:type="paragraph" w:customStyle="1" w:styleId="97">
    <w:name w:val="Обычный1"/>
    <w:link w:val="98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98">
    <w:name w:val="Обычный11"/>
    <w:link w:val="97"/>
    <w:qFormat/>
    <w:uiPriority w:val="0"/>
    <w:rPr>
      <w:rFonts w:ascii="Times New Roman" w:hAnsi="Times New Roman"/>
      <w:sz w:val="28"/>
    </w:rPr>
  </w:style>
  <w:style w:type="paragraph" w:customStyle="1" w:styleId="99">
    <w:name w:val="Заголовок №51"/>
    <w:basedOn w:val="1"/>
    <w:link w:val="100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0">
    <w:name w:val="Заголовок №511"/>
    <w:link w:val="99"/>
    <w:qFormat/>
    <w:uiPriority w:val="0"/>
    <w:rPr>
      <w:rFonts w:ascii="Times New Roman" w:hAnsi="Times New Roman"/>
      <w:b/>
      <w:sz w:val="27"/>
    </w:rPr>
  </w:style>
  <w:style w:type="paragraph" w:customStyle="1" w:styleId="101">
    <w:name w:val="Style13"/>
    <w:basedOn w:val="1"/>
    <w:link w:val="10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02">
    <w:name w:val="Style13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Style8"/>
    <w:basedOn w:val="1"/>
    <w:link w:val="10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4">
    <w:name w:val="Style81"/>
    <w:link w:val="103"/>
    <w:qFormat/>
    <w:uiPriority w:val="0"/>
    <w:rPr>
      <w:rFonts w:ascii="Times New Roman" w:hAnsi="Times New Roman"/>
      <w:sz w:val="24"/>
    </w:rPr>
  </w:style>
  <w:style w:type="paragraph" w:customStyle="1" w:styleId="105">
    <w:name w:val="Intense Emphasis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06">
    <w:name w:val="Intense Emphasis1"/>
    <w:link w:val="105"/>
    <w:qFormat/>
    <w:uiPriority w:val="0"/>
    <w:rPr>
      <w:b/>
      <w:i/>
      <w:color w:val="94B6D2"/>
    </w:rPr>
  </w:style>
  <w:style w:type="paragraph" w:customStyle="1" w:styleId="107">
    <w:name w:val="Название1"/>
    <w:basedOn w:val="1"/>
    <w:next w:val="1"/>
    <w:link w:val="108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08">
    <w:name w:val="Название11"/>
    <w:link w:val="107"/>
    <w:qFormat/>
    <w:uiPriority w:val="0"/>
    <w:rPr>
      <w:color w:val="59473F"/>
      <w:spacing w:val="5"/>
      <w:sz w:val="52"/>
    </w:rPr>
  </w:style>
  <w:style w:type="paragraph" w:customStyle="1" w:styleId="109">
    <w:name w:val="Основной текст (18) + Не курсив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10">
    <w:name w:val="Основной текст (18) + Не курсив1"/>
    <w:link w:val="109"/>
    <w:qFormat/>
    <w:uiPriority w:val="0"/>
    <w:rPr>
      <w:rFonts w:ascii="Times New Roman" w:hAnsi="Times New Roman"/>
      <w:highlight w:val="white"/>
    </w:rPr>
  </w:style>
  <w:style w:type="paragraph" w:customStyle="1" w:styleId="111">
    <w:name w:val="Font Style30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2">
    <w:name w:val="Font Style301"/>
    <w:link w:val="111"/>
    <w:qFormat/>
    <w:uiPriority w:val="0"/>
    <w:rPr>
      <w:rFonts w:ascii="Times New Roman" w:hAnsi="Times New Roman"/>
      <w:b/>
      <w:sz w:val="26"/>
    </w:rPr>
  </w:style>
  <w:style w:type="paragraph" w:customStyle="1" w:styleId="113">
    <w:name w:val="Основной текст (39)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14">
    <w:name w:val="Основной текст (39)2"/>
    <w:link w:val="11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15">
    <w:name w:val="Default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6">
    <w:name w:val="Default1"/>
    <w:link w:val="115"/>
    <w:qFormat/>
    <w:uiPriority w:val="0"/>
    <w:rPr>
      <w:rFonts w:ascii="Times New Roman" w:hAnsi="Times New Roman"/>
      <w:color w:val="000000"/>
      <w:sz w:val="24"/>
    </w:rPr>
  </w:style>
  <w:style w:type="paragraph" w:customStyle="1" w:styleId="117">
    <w:name w:val="Font Style75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8">
    <w:name w:val="Font Style751"/>
    <w:link w:val="117"/>
    <w:qFormat/>
    <w:uiPriority w:val="0"/>
    <w:rPr>
      <w:rFonts w:ascii="Times New Roman" w:hAnsi="Times New Roman"/>
      <w:b/>
      <w:sz w:val="26"/>
    </w:rPr>
  </w:style>
  <w:style w:type="paragraph" w:customStyle="1" w:styleId="119">
    <w:name w:val="Style31"/>
    <w:basedOn w:val="1"/>
    <w:link w:val="120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0">
    <w:name w:val="Style311"/>
    <w:link w:val="119"/>
    <w:qFormat/>
    <w:uiPriority w:val="0"/>
    <w:rPr>
      <w:rFonts w:ascii="Times New Roman" w:hAnsi="Times New Roman"/>
      <w:sz w:val="24"/>
    </w:rPr>
  </w:style>
  <w:style w:type="paragraph" w:customStyle="1" w:styleId="121">
    <w:name w:val="Style45"/>
    <w:basedOn w:val="1"/>
    <w:link w:val="12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22">
    <w:name w:val="Style451"/>
    <w:link w:val="121"/>
    <w:qFormat/>
    <w:uiPriority w:val="0"/>
    <w:rPr>
      <w:rFonts w:ascii="Times New Roman" w:hAnsi="Times New Roman"/>
      <w:sz w:val="24"/>
    </w:rPr>
  </w:style>
  <w:style w:type="paragraph" w:customStyle="1" w:styleId="123">
    <w:name w:val="Book Title"/>
    <w:link w:val="12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24">
    <w:name w:val="Book Title1"/>
    <w:link w:val="123"/>
    <w:qFormat/>
    <w:uiPriority w:val="0"/>
    <w:rPr>
      <w:b/>
      <w:smallCaps/>
      <w:spacing w:val="5"/>
    </w:rPr>
  </w:style>
  <w:style w:type="paragraph" w:customStyle="1" w:styleId="125">
    <w:name w:val="Основной текст (18)"/>
    <w:basedOn w:val="1"/>
    <w:link w:val="126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126">
    <w:name w:val="Основной текст (18)1"/>
    <w:link w:val="125"/>
    <w:qFormat/>
    <w:uiPriority w:val="0"/>
    <w:rPr>
      <w:rFonts w:ascii="Times New Roman" w:hAnsi="Times New Roman"/>
      <w:i/>
      <w:sz w:val="20"/>
    </w:rPr>
  </w:style>
  <w:style w:type="paragraph" w:customStyle="1" w:styleId="127">
    <w:name w:val="Основной текст5"/>
    <w:basedOn w:val="1"/>
    <w:link w:val="12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28">
    <w:name w:val="Основной текст51"/>
    <w:link w:val="127"/>
    <w:qFormat/>
    <w:uiPriority w:val="0"/>
    <w:rPr>
      <w:rFonts w:ascii="Times New Roman" w:hAnsi="Times New Roman"/>
      <w:sz w:val="23"/>
    </w:rPr>
  </w:style>
  <w:style w:type="table" w:customStyle="1" w:styleId="129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2025-07-30T03:00:00Z</dcterms:created>
  <dc:creator>mariy</dc:creator>
  <cp:lastModifiedBy>mariy</cp:lastModifiedBy>
  <dcterms:modified xsi:type="dcterms:W3CDTF">2025-07-30T05:46:50Z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