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6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3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4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_Toc8998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_Toc16710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_Toc16710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_Toc10294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_Toc10294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_Toc2041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_Toc2041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98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осуществлять поиск, толкование и применение нормативны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грамотно обосновывать и выражать собственное мнение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примененять нормы, регулирующие деятельность международного коммерческого арбитража, при рассмотрении споров.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исследования и применения на практике поло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4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710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9"/>
              <w:spacing w:line="240" w:lineRule="auto"/>
              <w:rPr>
                <w:sz w:val="22"/>
              </w:rPr>
            </w:pPr>
            <w:r>
              <w:rPr>
                <w:rStyle w:val="814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rStyle w:val="786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Форма проведения оценки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Устная/письменная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4</w:t>
            </w:r>
            <w:r>
              <w:rPr>
                <w:rStyle w:val="786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5</w:t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3.Особенности использования МКА для инвестиционных проектов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2.Представительство истца и представительство ответчика в процессе.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3.Особенности ведения дела в МКА.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5666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029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5"/>
        <w:ind w:left="0" w:firstLine="709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26045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4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ascii="Times New Roman" w:hAnsi="Times New Roman"/>
          <w:sz w:val="24"/>
          <w:szCs w:val="24"/>
        </w:rPr>
      </w:pPr>
      <w:r/>
      <w:bookmarkStart w:id="12" w:name="_GoBack"/>
      <w:r>
        <w:rPr>
          <w:rFonts w:ascii="Times New Roman" w:hAnsi="Times New Roman"/>
          <w:sz w:val="24"/>
          <w:szCs w:val="24"/>
        </w:rPr>
        <w:t xml:space="preserve"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условий о порядке рассмотрения споров на стадии ведения переговоров по инвестиционным проектам.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использования МКА для инвестиционных проектов.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иска в МКА. Реакция на уведомление об иске, поданным в МКА.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Представительство истца и представительство ответчика в процессе.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5" w:hanging="5"/>
        <w:jc w:val="both"/>
        <w:spacing w:after="0" w:line="240" w:lineRule="auto"/>
        <w:widowControl w:val="off"/>
        <w:tabs>
          <w:tab w:val="clear" w:pos="425" w:leader="none"/>
        </w:tabs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Особенности ведения дела в МКА.</w:t>
      </w:r>
      <w:bookmarkEnd w:id="12"/>
      <w:r>
        <w:rPr>
          <w:rFonts w:hint="default" w:ascii="Times New Roman" w:hAnsi="Times New Roman"/>
          <w:sz w:val="24"/>
          <w:szCs w:val="24"/>
          <w:lang w:val="ru-RU"/>
        </w:rPr>
      </w:r>
    </w:p>
    <w:p>
      <w:pPr>
        <w:pStyle w:val="774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споры по инвестиционному проекту и ограничения использования МКА, как способа их рассмотрения.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потенциального истца при отсутствии арбитражной оговорки в контракте.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9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353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6"/>
          <w:sz w:val="24"/>
        </w:rPr>
        <w:t xml:space="preserve"> представлена паспортом фонда оценочных средств по дисциплин</w:t>
      </w:r>
      <w:r>
        <w:rPr>
          <w:rStyle w:val="786"/>
          <w:sz w:val="24"/>
          <w:lang w:val="ru-RU"/>
        </w:rPr>
        <w:t xml:space="preserve">е</w:t>
      </w:r>
      <w:r>
        <w:rPr>
          <w:rStyle w:val="786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Порядок проведения текущего, рубежного контроля</w:t>
      </w:r>
      <w:r>
        <w:rPr>
          <w:rStyle w:val="78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Текущий контроль</w:t>
      </w:r>
      <w:r>
        <w:rPr>
          <w:rStyle w:val="78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Педагогические виды и формы, испо</w:t>
      </w:r>
      <w:r>
        <w:rPr>
          <w:rStyle w:val="78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При аттестации обучающихся учитываются следующие факторы:</w:t>
      </w:r>
      <w:r>
        <w:rPr>
          <w:rStyle w:val="786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Промежуточная аттестация</w:t>
      </w:r>
      <w:r>
        <w:rPr>
          <w:rStyle w:val="78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6"/>
          <w:sz w:val="24"/>
        </w:rPr>
      </w:r>
    </w:p>
    <w:p>
      <w:pPr>
        <w:pStyle w:val="745"/>
        <w:ind w:left="0" w:firstLine="0"/>
        <w:spacing w:line="240" w:lineRule="auto"/>
        <w:widowControl/>
        <w:rPr>
          <w:rStyle w:val="786"/>
          <w:sz w:val="24"/>
        </w:rPr>
      </w:pPr>
      <w:r>
        <w:rPr>
          <w:sz w:val="24"/>
        </w:rPr>
      </w:r>
      <w:r>
        <w:rPr>
          <w:rStyle w:val="786"/>
          <w:sz w:val="24"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2041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6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1"/>
      <w:jc w:val="right"/>
    </w:pPr>
    <w:r/>
    <w:r/>
  </w:p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left="23" w:firstLine="740"/>
      <w:jc w:val="right"/>
      <w:keepLines/>
      <w:keepNext/>
      <w:spacing w:line="240" w:lineRule="auto"/>
      <w:rPr>
        <w:rStyle w:val="755"/>
        <w:b w:val="0"/>
      </w:rPr>
    </w:pPr>
    <w:r>
      <w:rPr>
        <w:b w:val="0"/>
      </w:rPr>
    </w:r>
    <w:r>
      <w:rPr>
        <w:rStyle w:val="755"/>
        <w:b w:val="0"/>
      </w:rPr>
    </w:r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40"/>
    <w:uiPriority w:val="10"/>
    <w:rPr>
      <w:sz w:val="48"/>
      <w:szCs w:val="48"/>
    </w:rPr>
  </w:style>
  <w:style w:type="character" w:styleId="37">
    <w:name w:val="Subtitle Char"/>
    <w:basedOn w:val="715"/>
    <w:link w:val="743"/>
    <w:uiPriority w:val="11"/>
    <w:rPr>
      <w:sz w:val="24"/>
      <w:szCs w:val="24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character" w:styleId="43">
    <w:name w:val="Header Char"/>
    <w:basedOn w:val="715"/>
    <w:link w:val="729"/>
    <w:uiPriority w:val="99"/>
  </w:style>
  <w:style w:type="character" w:styleId="45">
    <w:name w:val="Footer Char"/>
    <w:basedOn w:val="715"/>
    <w:link w:val="741"/>
    <w:uiPriority w:val="99"/>
  </w:style>
  <w:style w:type="character" w:styleId="47">
    <w:name w:val="Caption Char"/>
    <w:basedOn w:val="724"/>
    <w:link w:val="741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6">
    <w:name w:val="Heading 1"/>
    <w:basedOn w:val="705"/>
    <w:next w:val="70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7">
    <w:name w:val="Heading 2"/>
    <w:basedOn w:val="705"/>
    <w:next w:val="70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8">
    <w:name w:val="Heading 3"/>
    <w:basedOn w:val="705"/>
    <w:next w:val="70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9">
    <w:name w:val="Heading 4"/>
    <w:basedOn w:val="705"/>
    <w:next w:val="70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0">
    <w:name w:val="Heading 5"/>
    <w:basedOn w:val="705"/>
    <w:next w:val="70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1">
    <w:name w:val="Heading 6"/>
    <w:basedOn w:val="705"/>
    <w:next w:val="70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2">
    <w:name w:val="Heading 7"/>
    <w:basedOn w:val="705"/>
    <w:next w:val="70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3">
    <w:name w:val="Heading 8"/>
    <w:basedOn w:val="705"/>
    <w:next w:val="70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4">
    <w:name w:val="Heading 9"/>
    <w:basedOn w:val="705"/>
    <w:next w:val="70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5" w:default="1">
    <w:name w:val="Default Paragraph Font"/>
    <w:uiPriority w:val="0"/>
    <w:qFormat/>
  </w:style>
  <w:style w:type="table" w:styleId="71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7">
    <w:name w:val="footnote reference"/>
    <w:uiPriority w:val="0"/>
    <w:qFormat/>
    <w:rPr>
      <w:vertAlign w:val="superscript"/>
    </w:rPr>
  </w:style>
  <w:style w:type="character" w:styleId="718">
    <w:name w:val="annotation reference"/>
    <w:uiPriority w:val="0"/>
    <w:qFormat/>
    <w:rPr>
      <w:sz w:val="16"/>
    </w:rPr>
  </w:style>
  <w:style w:type="character" w:styleId="719">
    <w:name w:val="endnote reference"/>
    <w:uiPriority w:val="0"/>
    <w:qFormat/>
    <w:rPr>
      <w:vertAlign w:val="superscript"/>
    </w:rPr>
  </w:style>
  <w:style w:type="character" w:styleId="720">
    <w:name w:val="Emphasis"/>
    <w:uiPriority w:val="0"/>
    <w:qFormat/>
    <w:rPr>
      <w:i/>
    </w:rPr>
  </w:style>
  <w:style w:type="character" w:styleId="721">
    <w:name w:val="Hyperlink"/>
    <w:uiPriority w:val="0"/>
    <w:qFormat/>
    <w:rPr>
      <w:color w:val="0000ff"/>
      <w:u w:val="single"/>
    </w:rPr>
  </w:style>
  <w:style w:type="character" w:styleId="722">
    <w:name w:val="Strong"/>
    <w:uiPriority w:val="0"/>
    <w:qFormat/>
    <w:rPr>
      <w:b/>
    </w:rPr>
  </w:style>
  <w:style w:type="paragraph" w:styleId="723">
    <w:name w:val="Balloon Text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Caption"/>
    <w:basedOn w:val="705"/>
    <w:next w:val="705"/>
    <w:uiPriority w:val="0"/>
    <w:qFormat/>
    <w:pPr>
      <w:spacing w:line="240" w:lineRule="auto"/>
    </w:pPr>
    <w:rPr>
      <w:b/>
      <w:color w:val="94b6d2"/>
      <w:sz w:val="18"/>
    </w:rPr>
  </w:style>
  <w:style w:type="paragraph" w:styleId="725">
    <w:name w:val="annotation text"/>
    <w:basedOn w:val="705"/>
    <w:uiPriority w:val="0"/>
    <w:qFormat/>
    <w:pPr>
      <w:spacing w:line="240" w:lineRule="auto"/>
    </w:pPr>
    <w:rPr>
      <w:sz w:val="20"/>
    </w:rPr>
  </w:style>
  <w:style w:type="paragraph" w:styleId="726">
    <w:name w:val="annotation subject"/>
    <w:basedOn w:val="725"/>
    <w:next w:val="725"/>
    <w:uiPriority w:val="0"/>
    <w:qFormat/>
    <w:rPr>
      <w:b/>
    </w:rPr>
  </w:style>
  <w:style w:type="paragraph" w:styleId="727">
    <w:name w:val="Document Map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8">
    <w:name w:val="toc 8"/>
    <w:next w:val="70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Header"/>
    <w:basedOn w:val="70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0">
    <w:name w:val="toc 9"/>
    <w:next w:val="70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7"/>
    <w:next w:val="70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2">
    <w:name w:val="Body Text"/>
    <w:basedOn w:val="705"/>
    <w:uiPriority w:val="0"/>
    <w:qFormat/>
    <w:pPr>
      <w:spacing w:after="120"/>
    </w:pPr>
  </w:style>
  <w:style w:type="paragraph" w:styleId="733">
    <w:name w:val="toc 1"/>
    <w:basedOn w:val="705"/>
    <w:next w:val="705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4">
    <w:name w:val="toc 6"/>
    <w:next w:val="70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3"/>
    <w:basedOn w:val="705"/>
    <w:next w:val="705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6">
    <w:name w:val="toc 2"/>
    <w:next w:val="705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7">
    <w:name w:val="toc 4"/>
    <w:next w:val="70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toc 5"/>
    <w:next w:val="705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9">
    <w:name w:val="Body Text Indent"/>
    <w:basedOn w:val="70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0">
    <w:name w:val="Title"/>
    <w:next w:val="70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1">
    <w:name w:val="Footer"/>
    <w:basedOn w:val="70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Normal (Web)"/>
    <w:basedOn w:val="705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3">
    <w:name w:val="Subtitle"/>
    <w:basedOn w:val="705"/>
    <w:next w:val="705"/>
    <w:uiPriority w:val="11"/>
    <w:qFormat/>
    <w:rPr>
      <w:i/>
      <w:color w:val="94b6d2"/>
      <w:spacing w:val="15"/>
      <w:sz w:val="24"/>
    </w:rPr>
  </w:style>
  <w:style w:type="table" w:styleId="744">
    <w:name w:val="Table Grid"/>
    <w:basedOn w:val="71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 w:customStyle="1">
    <w:name w:val="Style5"/>
    <w:basedOn w:val="705"/>
    <w:link w:val="746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6" w:customStyle="1">
    <w:name w:val="Style51"/>
    <w:link w:val="745"/>
    <w:uiPriority w:val="0"/>
    <w:qFormat/>
    <w:rPr>
      <w:rFonts w:ascii="Times New Roman" w:hAnsi="Times New Roman"/>
      <w:sz w:val="24"/>
    </w:rPr>
  </w:style>
  <w:style w:type="paragraph" w:styleId="747">
    <w:name w:val="Quote"/>
    <w:basedOn w:val="705"/>
    <w:next w:val="705"/>
    <w:uiPriority w:val="0"/>
    <w:qFormat/>
    <w:rPr>
      <w:i/>
      <w:color w:val="000000"/>
      <w:sz w:val="20"/>
    </w:rPr>
  </w:style>
  <w:style w:type="paragraph" w:styleId="748" w:customStyle="1">
    <w:name w:val="Style58"/>
    <w:basedOn w:val="705"/>
    <w:link w:val="74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5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Endnote"/>
    <w:basedOn w:val="705"/>
    <w:link w:val="751"/>
    <w:uiPriority w:val="0"/>
    <w:qFormat/>
    <w:pPr>
      <w:spacing w:after="0" w:line="240" w:lineRule="auto"/>
    </w:pPr>
    <w:rPr>
      <w:sz w:val="20"/>
    </w:rPr>
  </w:style>
  <w:style w:type="character" w:styleId="751" w:customStyle="1">
    <w:name w:val="Endnote1"/>
    <w:link w:val="750"/>
    <w:uiPriority w:val="0"/>
    <w:qFormat/>
    <w:rPr>
      <w:sz w:val="20"/>
    </w:rPr>
  </w:style>
  <w:style w:type="paragraph" w:styleId="752">
    <w:name w:val="Intense Quote"/>
    <w:basedOn w:val="705"/>
    <w:next w:val="70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4" w:customStyle="1">
    <w:name w:val="Заголовок №74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5" w:customStyle="1">
    <w:name w:val="Заголовок №741"/>
    <w:link w:val="754"/>
    <w:uiPriority w:val="0"/>
    <w:qFormat/>
    <w:rPr>
      <w:rFonts w:ascii="Times New Roman" w:hAnsi="Times New Roman"/>
      <w:b/>
      <w:sz w:val="27"/>
      <w:highlight w:val="white"/>
    </w:rPr>
  </w:style>
  <w:style w:type="paragraph" w:styleId="756" w:customStyle="1">
    <w:name w:val="Font Style1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7" w:customStyle="1">
    <w:name w:val="Font Style131"/>
    <w:link w:val="756"/>
    <w:uiPriority w:val="0"/>
    <w:qFormat/>
    <w:rPr>
      <w:rFonts w:ascii="Times New Roman" w:hAnsi="Times New Roman"/>
      <w:sz w:val="26"/>
    </w:rPr>
  </w:style>
  <w:style w:type="paragraph" w:styleId="758" w:customStyle="1">
    <w:name w:val="Font Style73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9" w:customStyle="1">
    <w:name w:val="Font Style731"/>
    <w:link w:val="758"/>
    <w:uiPriority w:val="0"/>
    <w:qFormat/>
    <w:rPr>
      <w:rFonts w:ascii="Times New Roman" w:hAnsi="Times New Roman"/>
      <w:b/>
      <w:sz w:val="22"/>
    </w:rPr>
  </w:style>
  <w:style w:type="paragraph" w:styleId="760" w:customStyle="1">
    <w:name w:val="Table Paragraph"/>
    <w:basedOn w:val="705"/>
    <w:link w:val="761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1" w:customStyle="1">
    <w:name w:val="Table Paragraph1"/>
    <w:link w:val="760"/>
    <w:uiPriority w:val="0"/>
    <w:qFormat/>
    <w:rPr>
      <w:rFonts w:ascii="Times New Roman" w:hAnsi="Times New Roman"/>
    </w:rPr>
  </w:style>
  <w:style w:type="paragraph" w:styleId="762" w:customStyle="1">
    <w:name w:val="Style64"/>
    <w:basedOn w:val="705"/>
    <w:link w:val="763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3" w:customStyle="1">
    <w:name w:val="Style641"/>
    <w:link w:val="762"/>
    <w:uiPriority w:val="0"/>
    <w:qFormat/>
    <w:rPr>
      <w:rFonts w:ascii="Times New Roman" w:hAnsi="Times New Roman"/>
      <w:sz w:val="24"/>
    </w:rPr>
  </w:style>
  <w:style w:type="paragraph" w:styleId="764" w:customStyle="1">
    <w:name w:val="Основной текст (6)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5" w:customStyle="1">
    <w:name w:val="Основной текст (6)31"/>
    <w:link w:val="764"/>
    <w:uiPriority w:val="0"/>
    <w:qFormat/>
    <w:rPr>
      <w:rFonts w:ascii="Times New Roman" w:hAnsi="Times New Roman"/>
      <w:highlight w:val="white"/>
    </w:rPr>
  </w:style>
  <w:style w:type="paragraph" w:styleId="766" w:customStyle="1">
    <w:name w:val="Заголовок №71"/>
    <w:basedOn w:val="705"/>
    <w:link w:val="76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qFormat/>
    <w:rPr>
      <w:rFonts w:ascii="Times New Roman" w:hAnsi="Times New Roman"/>
      <w:b/>
      <w:sz w:val="27"/>
    </w:rPr>
  </w:style>
  <w:style w:type="paragraph" w:styleId="768" w:customStyle="1">
    <w:name w:val="Font Style77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9" w:customStyle="1">
    <w:name w:val="Font Style771"/>
    <w:link w:val="768"/>
    <w:uiPriority w:val="0"/>
    <w:qFormat/>
    <w:rPr>
      <w:rFonts w:ascii="Times New Roman" w:hAnsi="Times New Roman"/>
      <w:sz w:val="22"/>
    </w:rPr>
  </w:style>
  <w:style w:type="paragraph" w:styleId="770" w:customStyle="1">
    <w:name w:val="Заголовок №72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1" w:customStyle="1">
    <w:name w:val="Заголовок №721"/>
    <w:link w:val="770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2" w:customStyle="1">
    <w:name w:val="WW-Базовый"/>
    <w:link w:val="77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3" w:customStyle="1">
    <w:name w:val="WW-Базовый1"/>
    <w:link w:val="772"/>
    <w:uiPriority w:val="0"/>
    <w:qFormat/>
    <w:rPr>
      <w:rFonts w:ascii="Times New Roman" w:hAnsi="Times New Roman"/>
      <w:color w:val="000000"/>
      <w:sz w:val="24"/>
    </w:rPr>
  </w:style>
  <w:style w:type="paragraph" w:styleId="774">
    <w:name w:val="List Paragraph"/>
    <w:basedOn w:val="705"/>
    <w:uiPriority w:val="0"/>
    <w:qFormat/>
    <w:pPr>
      <w:contextualSpacing/>
      <w:ind w:left="720" w:firstLine="0"/>
    </w:pPr>
  </w:style>
  <w:style w:type="paragraph" w:styleId="775" w:customStyle="1">
    <w:name w:val="Subtle Reference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6" w:customStyle="1">
    <w:name w:val="Subtle Reference1"/>
    <w:link w:val="775"/>
    <w:uiPriority w:val="0"/>
    <w:qFormat/>
    <w:rPr>
      <w:smallCaps/>
      <w:color w:val="dd8047"/>
      <w:u w:val="single"/>
    </w:rPr>
  </w:style>
  <w:style w:type="paragraph" w:styleId="777" w:customStyle="1">
    <w:name w:val="Основной текст + Курсив2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8" w:customStyle="1">
    <w:name w:val="Основной текст + Курсив21"/>
    <w:link w:val="777"/>
    <w:uiPriority w:val="0"/>
    <w:qFormat/>
    <w:rPr>
      <w:rFonts w:ascii="Times New Roman" w:hAnsi="Times New Roman"/>
      <w:i/>
      <w:sz w:val="27"/>
      <w:highlight w:val="white"/>
    </w:rPr>
  </w:style>
  <w:style w:type="paragraph" w:styleId="779" w:customStyle="1">
    <w:name w:val="Основной текст (5) + Курсив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0" w:customStyle="1">
    <w:name w:val="Основной текст (5) + Курсив1"/>
    <w:link w:val="779"/>
    <w:uiPriority w:val="0"/>
    <w:qFormat/>
    <w:rPr>
      <w:rFonts w:ascii="Times New Roman" w:hAnsi="Times New Roman"/>
      <w:i/>
      <w:highlight w:val="white"/>
    </w:rPr>
  </w:style>
  <w:style w:type="paragraph" w:styleId="781" w:customStyle="1">
    <w:name w:val="Subtle Emphasis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2" w:customStyle="1">
    <w:name w:val="Subtle Emphasis1"/>
    <w:link w:val="781"/>
    <w:uiPriority w:val="0"/>
    <w:qFormat/>
    <w:rPr>
      <w:i/>
      <w:color w:val="808080"/>
    </w:rPr>
  </w:style>
  <w:style w:type="paragraph" w:styleId="783" w:customStyle="1">
    <w:name w:val="Основной текст (5)"/>
    <w:basedOn w:val="705"/>
    <w:link w:val="784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4" w:customStyle="1">
    <w:name w:val="Основной текст (5)1"/>
    <w:link w:val="783"/>
    <w:uiPriority w:val="0"/>
    <w:qFormat/>
    <w:rPr>
      <w:rFonts w:ascii="Times New Roman" w:hAnsi="Times New Roman"/>
      <w:sz w:val="20"/>
    </w:rPr>
  </w:style>
  <w:style w:type="paragraph" w:styleId="785" w:customStyle="1">
    <w:name w:val="Font Style76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6" w:customStyle="1">
    <w:name w:val="Font Style761"/>
    <w:link w:val="785"/>
    <w:uiPriority w:val="0"/>
    <w:qFormat/>
    <w:rPr>
      <w:rFonts w:ascii="Times New Roman" w:hAnsi="Times New Roman"/>
      <w:sz w:val="26"/>
    </w:rPr>
  </w:style>
  <w:style w:type="paragraph" w:styleId="787" w:customStyle="1">
    <w:name w:val="Footnote"/>
    <w:basedOn w:val="70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Footnote1"/>
    <w:link w:val="787"/>
    <w:uiPriority w:val="0"/>
    <w:qFormat/>
    <w:rPr>
      <w:sz w:val="20"/>
    </w:rPr>
  </w:style>
  <w:style w:type="paragraph" w:styleId="789" w:customStyle="1">
    <w:name w:val="Intense Reference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0" w:customStyle="1">
    <w:name w:val="Intense Reference1"/>
    <w:link w:val="789"/>
    <w:uiPriority w:val="0"/>
    <w:qFormat/>
    <w:rPr>
      <w:b/>
      <w:smallCaps/>
      <w:color w:val="dd8047"/>
      <w:spacing w:val="5"/>
      <w:u w:val="single"/>
    </w:rPr>
  </w:style>
  <w:style w:type="paragraph" w:styleId="791" w:customStyle="1">
    <w:name w:val="Header and Footer"/>
    <w:link w:val="792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2" w:customStyle="1">
    <w:name w:val="Header and Footer1"/>
    <w:link w:val="791"/>
    <w:uiPriority w:val="0"/>
    <w:qFormat/>
    <w:rPr>
      <w:rFonts w:ascii="XO Thames" w:hAnsi="XO Thames"/>
      <w:sz w:val="20"/>
    </w:rPr>
  </w:style>
  <w:style w:type="paragraph" w:styleId="793" w:customStyle="1">
    <w:name w:val="Заголовок №73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4" w:customStyle="1">
    <w:name w:val="Заголовок №731"/>
    <w:link w:val="793"/>
    <w:uiPriority w:val="0"/>
    <w:qFormat/>
    <w:rPr>
      <w:rFonts w:ascii="Times New Roman" w:hAnsi="Times New Roman"/>
      <w:b/>
      <w:sz w:val="27"/>
      <w:highlight w:val="white"/>
    </w:rPr>
  </w:style>
  <w:style w:type="paragraph" w:styleId="795" w:customStyle="1">
    <w:name w:val="Стиль1"/>
    <w:basedOn w:val="705"/>
    <w:link w:val="796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6" w:customStyle="1">
    <w:name w:val="Стиль11"/>
    <w:link w:val="795"/>
    <w:uiPriority w:val="0"/>
    <w:qFormat/>
    <w:rPr>
      <w:rFonts w:ascii="Arial" w:hAnsi="Arial"/>
      <w:sz w:val="24"/>
    </w:rPr>
  </w:style>
  <w:style w:type="paragraph" w:styleId="797" w:customStyle="1">
    <w:name w:val="TOC Heading"/>
    <w:basedOn w:val="706"/>
    <w:next w:val="705"/>
    <w:link w:val="798"/>
    <w:uiPriority w:val="0"/>
    <w:qFormat/>
    <w:pPr>
      <w:outlineLvl w:val="8"/>
    </w:pPr>
  </w:style>
  <w:style w:type="character" w:styleId="798" w:customStyle="1">
    <w:name w:val="TOC Heading1"/>
    <w:link w:val="797"/>
    <w:uiPriority w:val="0"/>
    <w:qFormat/>
  </w:style>
  <w:style w:type="paragraph" w:styleId="799" w:customStyle="1">
    <w:name w:val="Основной текст (39)1"/>
    <w:basedOn w:val="705"/>
    <w:link w:val="800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0" w:customStyle="1">
    <w:name w:val="Основной текст (39)11"/>
    <w:link w:val="799"/>
    <w:uiPriority w:val="0"/>
    <w:qFormat/>
    <w:rPr>
      <w:rFonts w:ascii="Times New Roman" w:hAnsi="Times New Roman"/>
      <w:i/>
      <w:sz w:val="20"/>
    </w:rPr>
  </w:style>
  <w:style w:type="paragraph" w:styleId="801" w:customStyle="1">
    <w:name w:val="Обычный1"/>
    <w:link w:val="802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2" w:customStyle="1">
    <w:name w:val="Обычный11"/>
    <w:link w:val="801"/>
    <w:uiPriority w:val="0"/>
    <w:qFormat/>
    <w:rPr>
      <w:rFonts w:ascii="Times New Roman" w:hAnsi="Times New Roman"/>
      <w:sz w:val="28"/>
    </w:rPr>
  </w:style>
  <w:style w:type="paragraph" w:styleId="803" w:customStyle="1">
    <w:name w:val="Заголовок №51"/>
    <w:basedOn w:val="705"/>
    <w:link w:val="804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4" w:customStyle="1">
    <w:name w:val="Заголовок №511"/>
    <w:link w:val="803"/>
    <w:uiPriority w:val="0"/>
    <w:qFormat/>
    <w:rPr>
      <w:rFonts w:ascii="Times New Roman" w:hAnsi="Times New Roman"/>
      <w:b/>
      <w:sz w:val="27"/>
    </w:rPr>
  </w:style>
  <w:style w:type="paragraph" w:styleId="805" w:customStyle="1">
    <w:name w:val="Style13"/>
    <w:basedOn w:val="705"/>
    <w:link w:val="80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6" w:customStyle="1">
    <w:name w:val="Style13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Style8"/>
    <w:basedOn w:val="705"/>
    <w:link w:val="80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8" w:customStyle="1">
    <w:name w:val="Style81"/>
    <w:link w:val="807"/>
    <w:uiPriority w:val="0"/>
    <w:qFormat/>
    <w:rPr>
      <w:rFonts w:ascii="Times New Roman" w:hAnsi="Times New Roman"/>
      <w:sz w:val="24"/>
    </w:rPr>
  </w:style>
  <w:style w:type="paragraph" w:styleId="809" w:customStyle="1">
    <w:name w:val="Intense Emphasis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0" w:customStyle="1">
    <w:name w:val="Intense Emphasis1"/>
    <w:link w:val="809"/>
    <w:uiPriority w:val="0"/>
    <w:qFormat/>
    <w:rPr>
      <w:b/>
      <w:i/>
      <w:color w:val="94b6d2"/>
    </w:rPr>
  </w:style>
  <w:style w:type="paragraph" w:styleId="811" w:customStyle="1">
    <w:name w:val="Название1"/>
    <w:basedOn w:val="705"/>
    <w:next w:val="705"/>
    <w:link w:val="812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2" w:customStyle="1">
    <w:name w:val="Название11"/>
    <w:link w:val="811"/>
    <w:uiPriority w:val="0"/>
    <w:qFormat/>
    <w:rPr>
      <w:color w:val="59473f"/>
      <w:spacing w:val="5"/>
      <w:sz w:val="52"/>
    </w:rPr>
  </w:style>
  <w:style w:type="paragraph" w:styleId="813" w:customStyle="1">
    <w:name w:val="Основной текст (18) + Не курсив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4" w:customStyle="1">
    <w:name w:val="Основной текст (18) + Не курсив1"/>
    <w:link w:val="813"/>
    <w:uiPriority w:val="0"/>
    <w:qFormat/>
    <w:rPr>
      <w:rFonts w:ascii="Times New Roman" w:hAnsi="Times New Roman"/>
      <w:highlight w:val="white"/>
    </w:rPr>
  </w:style>
  <w:style w:type="paragraph" w:styleId="815" w:customStyle="1">
    <w:name w:val="Font Style3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6" w:customStyle="1">
    <w:name w:val="Font Style301"/>
    <w:link w:val="815"/>
    <w:uiPriority w:val="0"/>
    <w:qFormat/>
    <w:rPr>
      <w:rFonts w:ascii="Times New Roman" w:hAnsi="Times New Roman"/>
      <w:b/>
      <w:sz w:val="26"/>
    </w:rPr>
  </w:style>
  <w:style w:type="paragraph" w:styleId="817" w:customStyle="1">
    <w:name w:val="Основной текст (39)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8" w:customStyle="1">
    <w:name w:val="Основной текст (39)2"/>
    <w:link w:val="817"/>
    <w:uiPriority w:val="0"/>
    <w:qFormat/>
    <w:rPr>
      <w:rFonts w:ascii="Times New Roman" w:hAnsi="Times New Roman"/>
      <w:i/>
      <w:highlight w:val="white"/>
      <w:u w:val="single"/>
    </w:rPr>
  </w:style>
  <w:style w:type="paragraph" w:styleId="819" w:customStyle="1">
    <w:name w:val="Default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0" w:customStyle="1">
    <w:name w:val="Default1"/>
    <w:link w:val="819"/>
    <w:uiPriority w:val="0"/>
    <w:qFormat/>
    <w:rPr>
      <w:rFonts w:ascii="Times New Roman" w:hAnsi="Times New Roman"/>
      <w:color w:val="000000"/>
      <w:sz w:val="24"/>
    </w:rPr>
  </w:style>
  <w:style w:type="paragraph" w:styleId="821" w:customStyle="1">
    <w:name w:val="Font Style75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75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Style31"/>
    <w:basedOn w:val="705"/>
    <w:link w:val="8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31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Style45"/>
    <w:basedOn w:val="705"/>
    <w:link w:val="82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6" w:customStyle="1">
    <w:name w:val="Style451"/>
    <w:link w:val="825"/>
    <w:uiPriority w:val="0"/>
    <w:qFormat/>
    <w:rPr>
      <w:rFonts w:ascii="Times New Roman" w:hAnsi="Times New Roman"/>
      <w:sz w:val="24"/>
    </w:rPr>
  </w:style>
  <w:style w:type="paragraph" w:styleId="827" w:customStyle="1">
    <w:name w:val="Book Title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8" w:customStyle="1">
    <w:name w:val="Book Title1"/>
    <w:link w:val="827"/>
    <w:uiPriority w:val="0"/>
    <w:qFormat/>
    <w:rPr>
      <w:b/>
      <w:smallCaps/>
      <w:spacing w:val="5"/>
    </w:rPr>
  </w:style>
  <w:style w:type="paragraph" w:styleId="829" w:customStyle="1">
    <w:name w:val="Основной текст (18)"/>
    <w:basedOn w:val="705"/>
    <w:link w:val="830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0" w:customStyle="1">
    <w:name w:val="Основной текст (18)1"/>
    <w:link w:val="829"/>
    <w:uiPriority w:val="0"/>
    <w:rPr>
      <w:rFonts w:ascii="Times New Roman" w:hAnsi="Times New Roman"/>
      <w:i/>
      <w:sz w:val="20"/>
    </w:rPr>
  </w:style>
  <w:style w:type="paragraph" w:styleId="831" w:customStyle="1">
    <w:name w:val="Основной текст5"/>
    <w:basedOn w:val="705"/>
    <w:link w:val="83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2" w:customStyle="1">
    <w:name w:val="Основной текст51"/>
    <w:link w:val="831"/>
    <w:uiPriority w:val="0"/>
    <w:qFormat/>
    <w:rPr>
      <w:rFonts w:ascii="Times New Roman" w:hAnsi="Times New Roman"/>
      <w:sz w:val="23"/>
    </w:rPr>
  </w:style>
  <w:style w:type="table" w:styleId="833" w:customStyle="1">
    <w:name w:val="Сетка таблицы светлая1"/>
    <w:basedOn w:val="71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8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