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6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7000000">
      <w:pPr>
        <w:pStyle w:val="70"/>
        <w:tabs>
          <w:tab w:val="left" w:pos="1418"/>
          <w:tab w:val="left" w:pos="1560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</w:p>
    <w:p w14:paraId="08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9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A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B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b/>
          <w:sz w:val="24"/>
        </w:rPr>
      </w:pPr>
    </w:p>
    <w:p w14:paraId="0C000000">
      <w:pPr>
        <w:pStyle w:val="70"/>
        <w:tabs>
          <w:tab w:val="left" w:pos="1418"/>
          <w:tab w:val="left" w:pos="1560"/>
        </w:tabs>
        <w:spacing w:after="0" w:line="240" w:lineRule="auto"/>
        <w:ind w:left="6096" w:right="-1" w:firstLine="0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ФОНД ОЦЕНОЧНЫХ СРЕДСТВ</w:t>
      </w:r>
    </w:p>
    <w:p w14:paraId="0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8"/>
        </w:rPr>
      </w:pPr>
    </w:p>
    <w:p w14:paraId="0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1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ascii="Times New Roman" w:hAnsi="Times New Roman"/>
          <w:sz w:val="24"/>
        </w:rPr>
      </w:pPr>
    </w:p>
    <w:p w14:paraId="15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hint="default" w:ascii="Times New Roman" w:hAnsi="Times New Roman"/>
          <w:b/>
          <w:spacing w:val="20"/>
          <w:sz w:val="28"/>
          <w:lang w:val="ru-RU"/>
        </w:rPr>
      </w:pPr>
      <w:r>
        <w:rPr>
          <w:rFonts w:hint="default" w:ascii="Times New Roman" w:hAnsi="Times New Roman"/>
          <w:b/>
          <w:spacing w:val="20"/>
          <w:sz w:val="28"/>
          <w:lang w:val="ru-RU"/>
        </w:rPr>
        <w:t xml:space="preserve">Современное страховое право </w:t>
      </w:r>
    </w:p>
    <w:p w14:paraId="4EC3BF35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hint="default" w:ascii="Times New Roman" w:hAnsi="Times New Roman"/>
          <w:b/>
          <w:spacing w:val="20"/>
          <w:sz w:val="28"/>
          <w:lang w:val="ru-RU"/>
        </w:rPr>
      </w:pPr>
    </w:p>
    <w:p w14:paraId="5B50009C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center"/>
        <w:rPr>
          <w:rFonts w:hint="default" w:ascii="Times New Roman" w:hAnsi="Times New Roman"/>
          <w:b/>
          <w:spacing w:val="20"/>
          <w:sz w:val="28"/>
          <w:lang w:val="ru-RU"/>
        </w:rPr>
      </w:pPr>
    </w:p>
    <w:tbl>
      <w:tblPr>
        <w:tblStyle w:val="12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37"/>
      </w:tblGrid>
      <w:tr w14:paraId="1197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 w14:paraId="16000000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аучная специальность </w:t>
            </w:r>
          </w:p>
        </w:tc>
        <w:tc>
          <w:tcPr>
            <w:tcW w:w="6237" w:type="dxa"/>
            <w:vAlign w:val="center"/>
          </w:tcPr>
          <w:p w14:paraId="1B000000">
            <w:pPr>
              <w:pStyle w:val="49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ru-RU"/>
              </w:rPr>
              <w:t>Частно</w:t>
            </w:r>
            <w:r>
              <w:rPr>
                <w:rFonts w:ascii="Times New Roman" w:hAnsi="Times New Roman"/>
                <w:sz w:val="28"/>
              </w:rPr>
              <w:t>-правовые (</w:t>
            </w:r>
            <w:r>
              <w:rPr>
                <w:rFonts w:ascii="Times New Roman" w:hAnsi="Times New Roman"/>
                <w:sz w:val="28"/>
                <w:lang w:val="ru-RU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</w:tc>
      </w:tr>
      <w:tr w14:paraId="373AD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  <w:vAlign w:val="top"/>
          </w:tcPr>
          <w:p w14:paraId="4F994DE8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200103AC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376AA875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w="6237" w:type="dxa"/>
            <w:vAlign w:val="center"/>
          </w:tcPr>
          <w:p w14:paraId="1CB132E2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</w:p>
          <w:p w14:paraId="592DAB40">
            <w:pPr>
              <w:widowControl w:val="0"/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5FC007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7DA492E6">
            <w:pPr>
              <w:widowControl w:val="0"/>
              <w:spacing w:after="0" w:line="240" w:lineRule="auto"/>
              <w:ind w:left="0" w:leftChars="0" w:right="0" w:rightChars="0" w:firstLine="0" w:firstLineChars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1D43652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8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9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A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B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C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D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2E93AF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7CB1DA3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640DEA7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B7F855C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F02D275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9A852DC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43E03AA8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52F26739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19A4CEC7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7669166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983C3B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E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2F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0000000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202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t>СОДЕРЖАНИЕ</w:t>
      </w:r>
    </w:p>
    <w:p w14:paraId="32000000">
      <w:pPr>
        <w:rPr>
          <w:rFonts w:ascii="Times New Roman" w:hAnsi="Times New Roman"/>
          <w:b w:val="0"/>
          <w:sz w:val="24"/>
        </w:rPr>
      </w:pPr>
    </w:p>
    <w:p w14:paraId="78A32FDB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 xml:space="preserve"> HYPERLINK \l _Toc11499 </w:instrText>
      </w:r>
      <w:r>
        <w:fldChar w:fldCharType="separate"/>
      </w:r>
      <w:r>
        <w:rPr>
          <w:rFonts w:ascii="Times New Roman" w:hAnsi="Times New Roman"/>
        </w:rPr>
        <w:t xml:space="preserve">1. Перечень </w:t>
      </w:r>
      <w:r>
        <w:rPr>
          <w:rFonts w:ascii="Times New Roman" w:hAnsi="Times New Roman"/>
          <w:lang w:val="ru-RU"/>
        </w:rPr>
        <w:t>планируемых</w:t>
      </w:r>
      <w:r>
        <w:rPr>
          <w:rFonts w:hint="default" w:ascii="Times New Roman" w:hAnsi="Times New Roman"/>
          <w:lang w:val="ru-RU"/>
        </w:rPr>
        <w:t xml:space="preserve"> результатов освоения дисциплины</w:t>
      </w:r>
      <w:r>
        <w:tab/>
      </w:r>
      <w:r>
        <w:fldChar w:fldCharType="begin"/>
      </w:r>
      <w:r>
        <w:instrText xml:space="preserve"> PAGEREF _Toc11499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DDEFEE4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_Toc22621 </w:instrText>
      </w:r>
      <w:r>
        <w:fldChar w:fldCharType="separate"/>
      </w:r>
      <w:r>
        <w:rPr>
          <w:rFonts w:ascii="Times New Roman" w:hAnsi="Times New Roman"/>
        </w:rPr>
        <w:t>2. Структура ФОС по дисциплине</w:t>
      </w:r>
      <w:r>
        <w:tab/>
      </w:r>
      <w:r>
        <w:fldChar w:fldCharType="begin"/>
      </w:r>
      <w:r>
        <w:instrText xml:space="preserve"> PAGEREF _Toc22621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3AABF1B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_Toc1291 </w:instrText>
      </w:r>
      <w:r>
        <w:fldChar w:fldCharType="separate"/>
      </w:r>
      <w:r>
        <w:rPr>
          <w:rFonts w:ascii="Times New Roman" w:hAnsi="Times New Roman"/>
        </w:rPr>
        <w:t>3. Показатели и критерии оценки</w:t>
      </w:r>
      <w:r>
        <w:tab/>
      </w:r>
      <w:r>
        <w:fldChar w:fldCharType="begin"/>
      </w:r>
      <w:r>
        <w:instrText xml:space="preserve"> PAGEREF _Toc1291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9AC7E0E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_Toc27239 </w:instrText>
      </w:r>
      <w:r>
        <w:fldChar w:fldCharType="separate"/>
      </w:r>
      <w:r>
        <w:rPr>
          <w:rFonts w:ascii="Times New Roman" w:hAnsi="Times New Roman"/>
        </w:rPr>
        <w:t>4. Шкала оценивания результата</w:t>
      </w:r>
      <w:r>
        <w:tab/>
      </w:r>
      <w:r>
        <w:fldChar w:fldCharType="begin"/>
      </w:r>
      <w:r>
        <w:instrText xml:space="preserve"> PAGEREF _Toc27239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DE3CF44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_Toc20176 </w:instrText>
      </w:r>
      <w:r>
        <w:fldChar w:fldCharType="separate"/>
      </w:r>
      <w:r>
        <w:rPr>
          <w:rFonts w:hint="default" w:ascii="Times New Roman" w:hAnsi="Times New Roman" w:cs="Times New Roman"/>
          <w:szCs w:val="24"/>
          <w:lang w:val="ru-RU"/>
        </w:rPr>
        <w:t xml:space="preserve">5. </w:t>
      </w:r>
      <w:r>
        <w:rPr>
          <w:rFonts w:hint="default" w:ascii="Times New Roman" w:hAnsi="Times New Roman" w:cs="Times New Roman"/>
          <w:szCs w:val="24"/>
        </w:rPr>
        <w:t>Перечень заданий по дисциплине</w:t>
      </w:r>
      <w:r>
        <w:tab/>
      </w:r>
      <w:r>
        <w:fldChar w:fldCharType="begin"/>
      </w:r>
      <w:r>
        <w:instrText xml:space="preserve"> PAGEREF _Toc20176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5029BE3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_Toc8201 </w:instrText>
      </w:r>
      <w:r>
        <w:fldChar w:fldCharType="separate"/>
      </w:r>
      <w:r>
        <w:rPr>
          <w:rFonts w:ascii="Times New Roman" w:hAnsi="Times New Roman"/>
        </w:rPr>
        <w:t>6. Методические материалы, определяющие процедуры оценивания</w:t>
      </w:r>
      <w:r>
        <w:tab/>
      </w:r>
      <w:r>
        <w:fldChar w:fldCharType="begin"/>
      </w:r>
      <w:r>
        <w:instrText xml:space="preserve"> PAGEREF _Toc8201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381FE23">
      <w:pPr>
        <w:pStyle w:val="29"/>
        <w:tabs>
          <w:tab w:val="right" w:leader="dot" w:pos="9354"/>
          <w:tab w:val="clear" w:pos="142"/>
          <w:tab w:val="clear" w:pos="9639"/>
        </w:tabs>
      </w:pPr>
      <w:r>
        <w:fldChar w:fldCharType="begin"/>
      </w:r>
      <w:r>
        <w:instrText xml:space="preserve"> HYPERLINK \l _Toc15664 </w:instrText>
      </w:r>
      <w:r>
        <w:fldChar w:fldCharType="separate"/>
      </w:r>
      <w:r>
        <w:rPr>
          <w:rFonts w:ascii="Times New Roman" w:hAnsi="Times New Roman"/>
        </w:rPr>
        <w:t>7. Особенности освоения дисциплины для инвалидов и лиц с ограниченными возможностями</w:t>
      </w:r>
      <w:r>
        <w:tab/>
      </w:r>
      <w:r>
        <w:fldChar w:fldCharType="begin"/>
      </w:r>
      <w:r>
        <w:instrText xml:space="preserve"> PAGEREF _Toc15664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20A62BF">
      <w:r>
        <w:fldChar w:fldCharType="end"/>
      </w:r>
    </w:p>
    <w:p w14:paraId="3B000000">
      <w:pPr>
        <w:keepLines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 w:right="280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1B38C1E1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0" w:name="page3"/>
      <w:bookmarkEnd w:id="0"/>
      <w:r>
        <w:rPr>
          <w:rFonts w:ascii="Times New Roman" w:hAnsi="Times New Roman"/>
          <w:b/>
          <w:sz w:val="24"/>
        </w:rPr>
        <w:t xml:space="preserve"> </w:t>
      </w:r>
      <w:bookmarkStart w:id="1" w:name="_Toc25200"/>
      <w:bookmarkStart w:id="2" w:name="_Toc11499"/>
      <w:r>
        <w:rPr>
          <w:rFonts w:ascii="Times New Roman" w:hAnsi="Times New Roman"/>
          <w:b/>
          <w:sz w:val="24"/>
        </w:rPr>
        <w:t xml:space="preserve">Перечень </w:t>
      </w:r>
      <w:r>
        <w:rPr>
          <w:rFonts w:ascii="Times New Roman" w:hAnsi="Times New Roman"/>
          <w:b/>
          <w:sz w:val="24"/>
          <w:lang w:val="ru-RU"/>
        </w:rPr>
        <w:t>планируемых</w:t>
      </w:r>
      <w:r>
        <w:rPr>
          <w:rFonts w:hint="default" w:ascii="Times New Roman" w:hAnsi="Times New Roman"/>
          <w:b/>
          <w:sz w:val="24"/>
          <w:lang w:val="ru-RU"/>
        </w:rPr>
        <w:t xml:space="preserve"> результатов освоения дисциплины</w:t>
      </w:r>
      <w:bookmarkEnd w:id="1"/>
      <w:bookmarkEnd w:id="2"/>
    </w:p>
    <w:p w14:paraId="34FA72A1">
      <w:pPr>
        <w:pStyle w:val="70"/>
        <w:tabs>
          <w:tab w:val="left" w:pos="1418"/>
          <w:tab w:val="left" w:pos="1560"/>
        </w:tabs>
        <w:spacing w:after="0" w:line="240" w:lineRule="auto"/>
        <w:ind w:left="0" w:right="-1" w:firstLine="728"/>
        <w:rPr>
          <w:rFonts w:ascii="Times New Roman" w:hAnsi="Times New Roman"/>
          <w:b/>
          <w:sz w:val="24"/>
        </w:rPr>
      </w:pPr>
    </w:p>
    <w:p w14:paraId="11E74453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освоения образовательных результатов по </w:t>
      </w:r>
      <w:r>
        <w:rPr>
          <w:rFonts w:ascii="Times New Roman" w:hAnsi="Times New Roman"/>
          <w:i/>
          <w:sz w:val="24"/>
        </w:rPr>
        <w:t>учебной дисциплине</w:t>
      </w:r>
      <w:r>
        <w:rPr>
          <w:rFonts w:hint="default" w:ascii="Times New Roman" w:hAnsi="Times New Roman"/>
          <w:i/>
          <w:sz w:val="24"/>
          <w:lang w:val="ru-RU"/>
        </w:rPr>
        <w:t xml:space="preserve"> «Современное страховое право».</w:t>
      </w:r>
    </w:p>
    <w:p w14:paraId="49FCDB1E">
      <w:pPr>
        <w:pStyle w:val="70"/>
        <w:numPr>
          <w:ilvl w:val="1"/>
          <w:numId w:val="1"/>
        </w:numPr>
        <w:tabs>
          <w:tab w:val="left" w:pos="1418"/>
          <w:tab w:val="left" w:pos="1560"/>
          <w:tab w:val="left" w:pos="9639"/>
        </w:tabs>
        <w:spacing w:after="0" w:line="240" w:lineRule="auto"/>
        <w:ind w:left="0" w:right="-1" w:firstLine="7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обучения по дисциплине являются сформированные </w:t>
      </w:r>
      <w:r>
        <w:rPr>
          <w:rFonts w:ascii="Times New Roman" w:hAnsi="Times New Roman"/>
          <w:sz w:val="24"/>
          <w:lang w:val="ru-RU"/>
        </w:rPr>
        <w:t>знания</w:t>
      </w:r>
      <w:r>
        <w:rPr>
          <w:rFonts w:hint="default" w:ascii="Times New Roman" w:hAnsi="Times New Roman"/>
          <w:sz w:val="24"/>
          <w:lang w:val="ru-RU"/>
        </w:rPr>
        <w:t xml:space="preserve">, умения, навыки. </w:t>
      </w:r>
      <w:r>
        <w:rPr>
          <w:rFonts w:ascii="Times New Roman" w:hAnsi="Times New Roman"/>
          <w:sz w:val="24"/>
        </w:rPr>
        <w:t>Планируемые результаты обучения по дисциплине, характеризующие этапы формирования компетенции, представлены в табл. 1.2.1.:</w:t>
      </w:r>
    </w:p>
    <w:p w14:paraId="7852E2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Таблица – 1.2.1. Планируемые результаты обучения по дисциплине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 w14:paraId="36B1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</w:tc>
      </w:tr>
      <w:tr w14:paraId="488E7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0000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356F1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260E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Знать:</w:t>
            </w:r>
          </w:p>
          <w:p w14:paraId="7BE3CA59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специальную терминологию и юридические особенности представления результатов научной деятельности в профессиональной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права, в том числе с использованием новейших информационно-коммуникационных технологий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1777D7F4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методы исследования и их применение в самостоятельной научно-исследовательской деятельности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08A7F5BC">
            <w:pPr>
              <w:pStyle w:val="41"/>
              <w:widowControl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 xml:space="preserve">современное состояние, задачи и проблемы, необходимые для конкретного исследовательского коллектива, юридические особенности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права, актуальные при организации исследований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.</w:t>
            </w:r>
          </w:p>
        </w:tc>
      </w:tr>
      <w:tr w14:paraId="29E7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3C99B7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Уметь:</w:t>
            </w:r>
          </w:p>
          <w:p w14:paraId="397EE7B1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вести научную дискуссию; анализировать и обобщать материалы правоприменительной практики, статистические и эмпирические данные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38449CAF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осуществлять поиск, толкование и применение нормативных правовых актов и иных юридических документов, в том числе с использованием новейших информационно-коммуникационных технологий, включая судебную практику; самостоятельно проводить квалификацию правоотношений в сфере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274E121C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грамотно обосновывать и выражать собственное мнение по сравнительно-правовой научной проблематике, выбирать и правильно применять необходимые методы сравнительно- правового исследования, разрабатывать новые методы, исходя из специфики конкретного исследования вопросов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4384BF16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определять содержание, направленность и методику поиска в концепции и в исследовательском проекте, мотивируя работу исследовательского коллектива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22FA754B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highlight w:val="white"/>
              </w:rPr>
              <w:t xml:space="preserve">применять необходимые методы сравнительно-правового научного исследования, решать исследовательские задачи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.</w:t>
            </w:r>
          </w:p>
          <w:p w14:paraId="44451D29">
            <w:pPr>
              <w:spacing w:after="0" w:line="240" w:lineRule="auto"/>
              <w:ind w:left="0" w:firstLine="709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540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E3A76">
            <w:pPr>
              <w:pStyle w:val="41"/>
              <w:widowControl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Владеть:</w:t>
            </w:r>
          </w:p>
          <w:p w14:paraId="57A73A37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highlight w:val="white"/>
              </w:rPr>
              <w:t>приемами и методами планирования, достижения и оценки результатов в профессиональной юридической деятельности с учетом сложности решения профессиональных задач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75A9AD1B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 приемами проведения научных исследований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0838E1E2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методами и технологиями коммуникации, анализа и оценки современных научных достижений,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права, в том числе на иностранном языке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61976DFD">
            <w:pPr>
              <w:pStyle w:val="41"/>
              <w:widowControl/>
              <w:jc w:val="both"/>
              <w:rPr>
                <w:rFonts w:hint="default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>методами исследования и применения на практике положений международных соглашений, общепризнанных международных принципов, обычаев, норм национального законодательства, актов судебных органов при ведении самостоятельной научно-исследовательской деятельности в области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 страхового </w:t>
            </w:r>
            <w:r>
              <w:rPr>
                <w:sz w:val="24"/>
                <w:szCs w:val="24"/>
                <w:highlight w:val="white"/>
              </w:rPr>
              <w:t>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br w:type="textWrapping"/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способностью к организации и управлению работой исследовательского коллектива при решении исследовательских задач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 права</w:t>
            </w: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>;</w:t>
            </w:r>
          </w:p>
          <w:p w14:paraId="48B16BE5">
            <w:pPr>
              <w:pStyle w:val="41"/>
              <w:widowControl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white"/>
                <w:lang w:val="ru-RU"/>
              </w:rPr>
              <w:t xml:space="preserve">- </w:t>
            </w:r>
            <w:r>
              <w:rPr>
                <w:sz w:val="24"/>
                <w:szCs w:val="24"/>
                <w:highlight w:val="white"/>
              </w:rPr>
              <w:t xml:space="preserve">актуальными методами проведения научных исследований и решения исследовательских задач в области </w:t>
            </w:r>
            <w:r>
              <w:rPr>
                <w:sz w:val="24"/>
                <w:szCs w:val="24"/>
                <w:highlight w:val="white"/>
                <w:lang w:val="ru-RU"/>
              </w:rPr>
              <w:t>страхового</w:t>
            </w:r>
            <w:r>
              <w:rPr>
                <w:sz w:val="24"/>
                <w:szCs w:val="24"/>
                <w:highlight w:val="white"/>
              </w:rPr>
              <w:t xml:space="preserve"> права.</w:t>
            </w:r>
          </w:p>
        </w:tc>
      </w:tr>
    </w:tbl>
    <w:p w14:paraId="8D000000">
      <w:pPr>
        <w:pStyle w:val="70"/>
        <w:tabs>
          <w:tab w:val="left" w:pos="1418"/>
          <w:tab w:val="left" w:pos="1560"/>
        </w:tabs>
        <w:spacing w:after="0" w:line="240" w:lineRule="auto"/>
        <w:ind w:left="728" w:right="-1" w:firstLine="0"/>
        <w:jc w:val="center"/>
        <w:outlineLvl w:val="0"/>
        <w:rPr>
          <w:rFonts w:ascii="Times New Roman" w:hAnsi="Times New Roman"/>
          <w:sz w:val="24"/>
        </w:rPr>
      </w:pPr>
    </w:p>
    <w:p w14:paraId="90000000">
      <w:pPr>
        <w:pStyle w:val="70"/>
        <w:tabs>
          <w:tab w:val="left" w:pos="1418"/>
          <w:tab w:val="left" w:pos="1560"/>
        </w:tabs>
        <w:spacing w:after="0" w:line="240" w:lineRule="auto"/>
        <w:ind w:left="0" w:leftChars="0" w:right="-1" w:firstLine="0" w:firstLineChars="0"/>
        <w:jc w:val="both"/>
        <w:outlineLvl w:val="0"/>
        <w:rPr>
          <w:rFonts w:ascii="Times New Roman" w:hAnsi="Times New Roman"/>
          <w:sz w:val="24"/>
        </w:rPr>
      </w:pPr>
    </w:p>
    <w:p w14:paraId="91000000">
      <w:pPr>
        <w:pStyle w:val="70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4"/>
        </w:rPr>
      </w:pPr>
      <w:bookmarkStart w:id="3" w:name="_Toc22621"/>
      <w:r>
        <w:rPr>
          <w:rFonts w:ascii="Times New Roman" w:hAnsi="Times New Roman"/>
          <w:b/>
          <w:sz w:val="24"/>
        </w:rPr>
        <w:t>Структура ФОС по дисциплине</w:t>
      </w:r>
      <w:bookmarkEnd w:id="3"/>
    </w:p>
    <w:p w14:paraId="92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осуществляется путем сопоставления продемонстрированных обучающимся результатов освоения</w:t>
      </w:r>
      <w:r>
        <w:rPr>
          <w:rFonts w:hint="default" w:ascii="Times New Roman" w:hAnsi="Times New Roman"/>
          <w:sz w:val="24"/>
          <w:lang w:val="ru-RU"/>
        </w:rPr>
        <w:t xml:space="preserve"> дисциплины </w:t>
      </w:r>
      <w:r>
        <w:rPr>
          <w:rFonts w:ascii="Times New Roman" w:hAnsi="Times New Roman"/>
          <w:sz w:val="24"/>
        </w:rPr>
        <w:t>с заданными критериями.</w:t>
      </w:r>
    </w:p>
    <w:p w14:paraId="94000000">
      <w:p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9500000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96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2.1. Объекты оценивания и наименование оценочных средств</w:t>
      </w:r>
    </w:p>
    <w:tbl>
      <w:tblPr>
        <w:tblStyle w:val="1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719"/>
        <w:gridCol w:w="2438"/>
        <w:gridCol w:w="1560"/>
        <w:gridCol w:w="1347"/>
      </w:tblGrid>
      <w:tr w14:paraId="7BBE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 тем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8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текущего</w:t>
            </w:r>
          </w:p>
          <w:p w14:paraId="99000000">
            <w:pPr>
              <w:pStyle w:val="125"/>
              <w:spacing w:line="240" w:lineRule="auto"/>
              <w:rPr>
                <w:sz w:val="22"/>
              </w:rPr>
            </w:pPr>
            <w:r>
              <w:rPr>
                <w:rStyle w:val="110"/>
                <w:i w:val="0"/>
                <w:sz w:val="22"/>
              </w:rPr>
              <w:t>контроля успеваемости</w:t>
            </w:r>
          </w:p>
          <w:p w14:paraId="9A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Формы промежуточной аттестации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B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Объекты оценивания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C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rStyle w:val="82"/>
                <w:sz w:val="22"/>
              </w:rPr>
              <w:t>Вид занятия / Наименование оценочных средств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9D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Форма проведения оценки</w:t>
            </w:r>
          </w:p>
          <w:p w14:paraId="9E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9F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Устная/письменная</w:t>
            </w:r>
          </w:p>
          <w:p w14:paraId="A0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  <w:p w14:paraId="A1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</w:p>
        </w:tc>
      </w:tr>
      <w:tr w14:paraId="03D3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2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3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4000000">
            <w:pPr>
              <w:pStyle w:val="79"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5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6000000">
            <w:pPr>
              <w:pStyle w:val="79"/>
              <w:spacing w:line="240" w:lineRule="auto"/>
              <w:jc w:val="center"/>
              <w:rPr>
                <w:rStyle w:val="82"/>
                <w:sz w:val="22"/>
              </w:rPr>
            </w:pPr>
            <w:r>
              <w:rPr>
                <w:rStyle w:val="82"/>
                <w:sz w:val="22"/>
              </w:rPr>
              <w:t>5</w:t>
            </w:r>
          </w:p>
        </w:tc>
      </w:tr>
      <w:tr w14:paraId="0489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ACF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Тема</w:t>
            </w:r>
            <w:r>
              <w:rPr>
                <w:rFonts w:hint="default" w:ascii="Times New Roman" w:hAnsi="Times New Roman"/>
                <w:lang w:val="ru-RU"/>
              </w:rPr>
              <w:t xml:space="preserve"> 1.</w:t>
            </w:r>
          </w:p>
          <w:p w14:paraId="2D398746">
            <w:pPr>
              <w:widowControl w:val="0"/>
              <w:spacing w:after="0" w:line="240" w:lineRule="auto"/>
              <w:rPr>
                <w:rFonts w:hint="default" w:ascii="Times New Roman" w:hAnsi="Times New Roman"/>
                <w:color w:val="000000"/>
                <w:lang w:val="ru-RU"/>
              </w:rPr>
            </w:pPr>
            <w:r>
              <w:rPr>
                <w:rStyle w:val="118"/>
                <w:b w:val="0"/>
                <w:sz w:val="24"/>
                <w:szCs w:val="24"/>
              </w:rPr>
              <w:t xml:space="preserve">Понятие и история формирования страхового права. </w:t>
            </w:r>
            <w:r>
              <w:rPr>
                <w:rFonts w:ascii="Times New Roman" w:hAnsi="Times New Roman"/>
                <w:sz w:val="24"/>
                <w:szCs w:val="24"/>
              </w:rPr>
              <w:t>Состав и содержание страхового правоотношения. Специальное страховое законодательство. Международные системы страхования.</w:t>
            </w:r>
            <w:r>
              <w:rPr>
                <w:rStyle w:val="118"/>
                <w:b w:val="0"/>
                <w:sz w:val="24"/>
                <w:szCs w:val="24"/>
              </w:rPr>
              <w:t xml:space="preserve"> Тенденции развития современного страхового права.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3159EC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Источники</w:t>
            </w:r>
            <w:r>
              <w:rPr>
                <w:rFonts w:hint="default" w:ascii="Times New Roman" w:hAnsi="Times New Roman"/>
                <w:lang w:val="ru-RU"/>
              </w:rPr>
              <w:t xml:space="preserve"> страхового права. Специальное страховое законодательство. Содержание страхового правоотношения.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A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AB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AC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4C38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B78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2. </w:t>
            </w:r>
          </w:p>
          <w:p w14:paraId="AD000000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Style w:val="118"/>
                <w:b w:val="0"/>
                <w:sz w:val="24"/>
                <w:szCs w:val="24"/>
              </w:rPr>
              <w:t>Объекты и субъекты страхования. Особенности отдельных видов страхования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страхование в сфере энергетики, морское, ипотечное, медицинское).</w:t>
            </w:r>
            <w:r>
              <w:rPr>
                <w:rStyle w:val="118"/>
                <w:b w:val="0"/>
                <w:sz w:val="24"/>
                <w:szCs w:val="24"/>
              </w:rPr>
              <w:t xml:space="preserve"> Особенности порядка разрешения споров в сфере страховой деятельности</w:t>
            </w:r>
            <w:r>
              <w:rPr>
                <w:rStyle w:val="118"/>
                <w:rFonts w:hint="default" w:asci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A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140D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Виды страхования. Порядок разрешения споров в страховой деятельности.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B1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B2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устная</w:t>
            </w:r>
          </w:p>
        </w:tc>
      </w:tr>
      <w:tr w14:paraId="56859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8DA5">
            <w:pPr>
              <w:widowControl w:val="0"/>
              <w:spacing w:after="0" w:line="240" w:lineRule="auto"/>
              <w:rPr>
                <w:rStyle w:val="118"/>
                <w:b w:val="0"/>
                <w:sz w:val="24"/>
                <w:szCs w:val="24"/>
              </w:rPr>
            </w:pPr>
            <w:r>
              <w:t>Тема 3</w:t>
            </w:r>
            <w:r>
              <w:rPr>
                <w:rFonts w:hint="default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Страхование ответственности. Страхование гражданской ответственности владельцев транспортных средств. Страхование гражданской ответственности организаций, эксплуатирующих опасные объекты. Страхование профессиональной ответственности. Страхование ответственности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договору.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738F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EE6C">
            <w:pPr>
              <w:widowControl w:val="0"/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Страхование</w:t>
            </w:r>
            <w:r>
              <w:rPr>
                <w:rFonts w:hint="default" w:ascii="Times New Roman" w:hAnsi="Times New Roman"/>
                <w:lang w:val="ru-RU"/>
              </w:rPr>
              <w:t xml:space="preserve"> ответственности.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54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ЗЛТ: дискуссия</w:t>
            </w:r>
          </w:p>
          <w:p w14:paraId="664166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СЗ: дискуссия/ опрос  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06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1CCCA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5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темы и разделы: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6000000">
            <w:pPr>
              <w:widowControl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C7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обучения по дисциплине теоретических знаний и практических навыков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C9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</w:rPr>
              <w:t>опросы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0E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F9F14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CA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2" w:name="_GoBack"/>
            <w:bookmarkEnd w:id="12"/>
            <w:r>
              <w:rPr>
                <w:rFonts w:ascii="Times New Roman" w:hAnsi="Times New Roman"/>
              </w:rPr>
              <w:t>письменная</w:t>
            </w:r>
          </w:p>
        </w:tc>
      </w:tr>
    </w:tbl>
    <w:p w14:paraId="CB000000">
      <w:pPr>
        <w:spacing w:after="0" w:line="240" w:lineRule="auto"/>
        <w:ind w:left="120" w:right="280" w:firstLine="708"/>
        <w:rPr>
          <w:rFonts w:ascii="Times New Roman" w:hAnsi="Times New Roman"/>
          <w:b/>
          <w:sz w:val="24"/>
        </w:rPr>
      </w:pPr>
      <w:bookmarkStart w:id="4" w:name="page8"/>
      <w:bookmarkEnd w:id="4"/>
    </w:p>
    <w:p w14:paraId="CC00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5" w:name="_Toc1291"/>
      <w:r>
        <w:rPr>
          <w:rFonts w:ascii="Times New Roman" w:hAnsi="Times New Roman"/>
          <w:b/>
          <w:sz w:val="24"/>
        </w:rPr>
        <w:t>Показатели и критерии оценки</w:t>
      </w:r>
      <w:bookmarkEnd w:id="5"/>
    </w:p>
    <w:p w14:paraId="CD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14:paraId="CE000000">
      <w:pPr>
        <w:pStyle w:val="7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параметрах </w:t>
      </w:r>
      <w:r>
        <w:rPr>
          <w:rFonts w:ascii="Times New Roman" w:hAnsi="Times New Roman"/>
          <w:i/>
          <w:sz w:val="24"/>
        </w:rPr>
        <w:t>«очень высокая», «высокая»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«отлично»;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«достаточно высокая», «выше средней»,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«хорошо»</w:t>
      </w:r>
      <w:r>
        <w:rPr>
          <w:rFonts w:ascii="Times New Roman" w:hAnsi="Times New Roman"/>
          <w:sz w:val="24"/>
        </w:rPr>
        <w:t>; «</w:t>
      </w:r>
      <w:r>
        <w:rPr>
          <w:rFonts w:ascii="Times New Roman" w:hAnsi="Times New Roman"/>
          <w:i/>
          <w:sz w:val="24"/>
        </w:rPr>
        <w:t>средняя», «ниже средней», «низкая»,</w:t>
      </w:r>
      <w:r>
        <w:rPr>
          <w:rFonts w:ascii="Times New Roman" w:hAnsi="Times New Roman"/>
          <w:sz w:val="24"/>
        </w:rPr>
        <w:t xml:space="preserve"> соответствующая академической оценке </w:t>
      </w:r>
      <w:r>
        <w:rPr>
          <w:rFonts w:ascii="Times New Roman" w:hAnsi="Times New Roman"/>
          <w:i/>
          <w:sz w:val="24"/>
        </w:rPr>
        <w:t>«удовлетворительно»;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«очень низкая», «примитивная»</w:t>
      </w:r>
      <w:r>
        <w:rPr>
          <w:rFonts w:ascii="Times New Roman" w:hAnsi="Times New Roman"/>
          <w:sz w:val="24"/>
        </w:rPr>
        <w:t xml:space="preserve">, соответствующая академической оценке </w:t>
      </w:r>
      <w:r>
        <w:rPr>
          <w:rFonts w:ascii="Times New Roman" w:hAnsi="Times New Roman"/>
          <w:i/>
          <w:sz w:val="24"/>
        </w:rPr>
        <w:t>«неудовлетворительно».</w:t>
      </w:r>
    </w:p>
    <w:p w14:paraId="CF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939"/>
        <w:gridCol w:w="1843"/>
        <w:gridCol w:w="1843"/>
        <w:gridCol w:w="1843"/>
        <w:gridCol w:w="1701"/>
      </w:tblGrid>
      <w:tr w14:paraId="232F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1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2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2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14:paraId="3B81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C224A"/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7B0CA1"/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3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Отсутству</w:t>
            </w:r>
            <w:r>
              <w:rPr>
                <w:rFonts w:ascii="Times New Roman" w:hAnsi="Times New Roman"/>
                <w:b/>
                <w:lang w:val="ru-RU"/>
              </w:rPr>
              <w:t>ют</w:t>
            </w:r>
            <w:r>
              <w:rPr>
                <w:rFonts w:hint="default" w:ascii="Times New Roman" w:hAnsi="Times New Roman"/>
                <w:b/>
                <w:lang w:val="ru-RU"/>
              </w:rPr>
              <w:t xml:space="preserve"> знания, умения, навыки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4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Базовый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5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Повышенный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D6000000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</w:tc>
      </w:tr>
      <w:tr w14:paraId="44DF8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лекциях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обучающегося в работе на занятии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работе на занятии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работе на занятии</w:t>
            </w:r>
          </w:p>
        </w:tc>
      </w:tr>
      <w:tr w14:paraId="6D90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практических/семинарских занятиях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DF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0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1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2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 w14:paraId="2315A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3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4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5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6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7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8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 w14:paraId="52C91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9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A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B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Отсутствие участия в обсуждении, решении, неправильное решение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C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Единичное высказывание, решение с ошибками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D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EE0000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094CA5D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</w:p>
    <w:p w14:paraId="72646821">
      <w:pPr>
        <w:pStyle w:val="7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3.2. Обобщенные критерии оценивания результатов обучения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42"/>
        <w:gridCol w:w="2127"/>
        <w:gridCol w:w="1701"/>
        <w:gridCol w:w="2307"/>
      </w:tblGrid>
      <w:tr w14:paraId="3EBC0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84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B7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87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7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14:paraId="22E96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30CF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96C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</w:t>
            </w:r>
            <w:r>
              <w:rPr>
                <w:rFonts w:ascii="Times New Roman" w:hAnsi="Times New Roman"/>
                <w:lang w:val="ru-RU"/>
              </w:rPr>
              <w:t>ю</w:t>
            </w:r>
            <w:r>
              <w:rPr>
                <w:rFonts w:ascii="Times New Roman" w:hAnsi="Times New Roman"/>
              </w:rPr>
              <w:t xml:space="preserve">т </w:t>
            </w:r>
            <w:r>
              <w:rPr>
                <w:rFonts w:ascii="Times New Roman" w:hAnsi="Times New Roman"/>
                <w:sz w:val="24"/>
              </w:rPr>
              <w:t>знани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умени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</w:rPr>
              <w:t>, владени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0340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Базовый уровень освоения </w:t>
            </w:r>
            <w:r>
              <w:rPr>
                <w:rFonts w:ascii="Times New Roman" w:hAnsi="Times New Roman"/>
                <w:sz w:val="24"/>
                <w:lang w:val="ru-RU"/>
              </w:rPr>
              <w:t>дисциплины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B3D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Повышенный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E38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Продвинутый   уровень освоения </w:t>
            </w:r>
            <w:r>
              <w:rPr>
                <w:rFonts w:ascii="Times New Roman" w:hAnsi="Times New Roman"/>
                <w:lang w:val="ru-RU"/>
              </w:rPr>
              <w:t>дисциплины</w:t>
            </w:r>
          </w:p>
        </w:tc>
      </w:tr>
      <w:tr w14:paraId="3137D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F8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 </w:t>
            </w:r>
            <w:r>
              <w:rPr>
                <w:rFonts w:ascii="Times New Roman" w:hAnsi="Times New Roman"/>
              </w:rPr>
              <w:t>Обучающийся не владеет необходимыми знаниями.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0091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не освоена.</w:t>
            </w:r>
          </w:p>
          <w:p w14:paraId="6108FAF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Обучающийся частично показывает знания,понимает их необходимость, но не может их применять.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36B763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Обучающийся показывает общие знания,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B3D6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освоена. . Обучающийся  показывает полноту знаний, демонстрирует умения и навыки решения типовых задач.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18376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Дисциплина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освоена. </w:t>
            </w:r>
          </w:p>
          <w:p w14:paraId="0D06E9D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 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01228E8B">
      <w:pPr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</w:rPr>
      </w:pPr>
    </w:p>
    <w:p w14:paraId="4633032E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Базовый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 xml:space="preserve">- обязательный для всех обучающихся по завершении освоения дисциплины. </w:t>
      </w:r>
    </w:p>
    <w:p w14:paraId="61013808">
      <w:pPr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Повышенный уровень 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ascii="Times New Roman" w:hAnsi="Times New Roman"/>
          <w:sz w:val="24"/>
        </w:rPr>
        <w:t xml:space="preserve"> - превышение минимальных характеристик сформированности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 xml:space="preserve"> для обучающегося. </w:t>
      </w:r>
    </w:p>
    <w:p w14:paraId="44335FCA">
      <w:pPr>
        <w:spacing w:after="0" w:line="240" w:lineRule="auto"/>
        <w:ind w:left="0" w:firstLine="708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</w:rPr>
        <w:t>Продвинутый уровень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освоения </w:t>
      </w:r>
      <w:r>
        <w:rPr>
          <w:rFonts w:ascii="Times New Roman" w:hAnsi="Times New Roman"/>
          <w:i/>
          <w:sz w:val="24"/>
          <w:lang w:val="ru-RU"/>
        </w:rPr>
        <w:t>дисциплины</w:t>
      </w:r>
      <w:r>
        <w:rPr>
          <w:rFonts w:hint="default"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sz w:val="24"/>
        </w:rPr>
        <w:t>- максимально возможная выраженность</w:t>
      </w:r>
      <w:r>
        <w:rPr>
          <w:rFonts w:hint="default" w:ascii="Times New Roman" w:hAnsi="Times New Roman"/>
          <w:sz w:val="24"/>
          <w:lang w:val="ru-RU"/>
        </w:rPr>
        <w:t xml:space="preserve"> знаний, умения и навыков по </w:t>
      </w:r>
      <w:r>
        <w:rPr>
          <w:rFonts w:ascii="Times New Roman" w:hAnsi="Times New Roman"/>
          <w:sz w:val="24"/>
          <w:lang w:val="ru-RU"/>
        </w:rPr>
        <w:t>дисциплине</w:t>
      </w:r>
      <w:r>
        <w:rPr>
          <w:rFonts w:hint="default" w:ascii="Times New Roman" w:hAnsi="Times New Roman"/>
          <w:sz w:val="24"/>
          <w:lang w:val="ru-RU"/>
        </w:rPr>
        <w:t>.</w:t>
      </w:r>
    </w:p>
    <w:p w14:paraId="77C79E47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активное участие в конференциях, конкурсах, круглых столах и т.д. с получением зафиксированного положительного результата по вопросам, включенным в дисциплину;</w:t>
      </w:r>
    </w:p>
    <w:p w14:paraId="3DDD98A5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разработка и реализация проектов с применением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  <w:r>
        <w:rPr>
          <w:rFonts w:ascii="Times New Roman" w:hAnsi="Times New Roman"/>
          <w:sz w:val="24"/>
        </w:rPr>
        <w:t>, указанных в рабочей программе;</w:t>
      </w:r>
    </w:p>
    <w:p w14:paraId="14275009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113413F8">
      <w:p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5FAE149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010000">
      <w:pPr>
        <w:pStyle w:val="70"/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right="-1" w:firstLine="728"/>
        <w:jc w:val="center"/>
        <w:outlineLvl w:val="0"/>
        <w:rPr>
          <w:rFonts w:ascii="Times New Roman" w:hAnsi="Times New Roman"/>
          <w:b/>
          <w:sz w:val="24"/>
        </w:rPr>
      </w:pPr>
      <w:bookmarkStart w:id="6" w:name="_Toc27239"/>
      <w:r>
        <w:rPr>
          <w:rFonts w:ascii="Times New Roman" w:hAnsi="Times New Roman"/>
          <w:b/>
          <w:sz w:val="24"/>
        </w:rPr>
        <w:t>Шкала оценивания результата</w:t>
      </w:r>
      <w:bookmarkEnd w:id="6"/>
    </w:p>
    <w:p w14:paraId="0A010000">
      <w:pPr>
        <w:spacing w:after="0" w:line="240" w:lineRule="auto"/>
        <w:ind w:left="1088" w:firstLine="0"/>
        <w:rPr>
          <w:rFonts w:ascii="Times New Roman" w:hAnsi="Times New Roman"/>
          <w:b/>
          <w:sz w:val="24"/>
        </w:rPr>
      </w:pPr>
    </w:p>
    <w:p w14:paraId="7EF80758">
      <w:pPr>
        <w:spacing w:after="0" w:line="240" w:lineRule="auto"/>
        <w:jc w:val="both"/>
        <w:rPr>
          <w:rFonts w:hint="default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Таблица – 4.1.  Шкала критериев оценивания </w:t>
      </w:r>
      <w:r>
        <w:rPr>
          <w:rFonts w:ascii="Times New Roman" w:hAnsi="Times New Roman"/>
          <w:sz w:val="24"/>
          <w:lang w:val="ru-RU"/>
        </w:rPr>
        <w:t>знаний</w:t>
      </w:r>
      <w:r>
        <w:rPr>
          <w:rFonts w:hint="default" w:ascii="Times New Roman" w:hAnsi="Times New Roman"/>
          <w:sz w:val="24"/>
          <w:lang w:val="ru-RU"/>
        </w:rPr>
        <w:t>, умений и навыков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6886"/>
      </w:tblGrid>
      <w:tr w14:paraId="7F79F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1AA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841B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Содержание </w:t>
            </w:r>
          </w:p>
        </w:tc>
      </w:tr>
      <w:tr w14:paraId="31942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BF6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7E233C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 – «неудовлетворительно»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57E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15221E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 w14:paraId="683CC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F07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 – «удовлетворительно»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60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4A6837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 w14:paraId="16972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736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 – «хорошо»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DC60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4FF64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выполненных заданий раскрыто и рассмотрено с разных точек зрения.</w:t>
            </w:r>
          </w:p>
        </w:tc>
      </w:tr>
      <w:tr w14:paraId="710C7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0DF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 – «отлично»</w:t>
            </w:r>
          </w:p>
        </w:tc>
        <w:tc>
          <w:tcPr>
            <w:tcW w:w="6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B6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00E7E0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1B010000">
      <w:pPr>
        <w:pStyle w:val="41"/>
        <w:widowControl/>
        <w:spacing w:line="240" w:lineRule="auto"/>
        <w:ind w:left="0" w:firstLine="709"/>
        <w:rPr>
          <w:rStyle w:val="82"/>
          <w:sz w:val="24"/>
        </w:rPr>
      </w:pPr>
      <w:r>
        <w:rPr>
          <w:rStyle w:val="82"/>
          <w:sz w:val="24"/>
        </w:rPr>
        <w:t>Шкалы оценивания и процедуры оценивания результатов обучения по дисциплине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высшего образования.</w:t>
      </w:r>
    </w:p>
    <w:p w14:paraId="1C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Формой итогового контроля по дисциплине является зачет, итоговый результат формируется в соответствии со шкалой, приведенной ниже в таблице:</w:t>
      </w:r>
    </w:p>
    <w:p w14:paraId="1D01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5"/>
        <w:gridCol w:w="3640"/>
      </w:tblGrid>
      <w:tr w14:paraId="0420B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01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</w:tr>
      <w:tr w14:paraId="30524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0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&lt;2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Незачет</w:t>
            </w:r>
          </w:p>
        </w:tc>
      </w:tr>
      <w:tr w14:paraId="686B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exac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2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&gt;3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3010000">
            <w:pPr>
              <w:widowControl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</w:tbl>
    <w:p w14:paraId="24010000">
      <w:pPr>
        <w:widowControl w:val="0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3B010000">
      <w:pPr>
        <w:pStyle w:val="70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28"/>
        <w:jc w:val="center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7" w:name="_Toc20176"/>
      <w:r>
        <w:rPr>
          <w:rFonts w:hint="default" w:ascii="Times New Roman" w:hAnsi="Times New Roman" w:cs="Times New Roman"/>
          <w:b/>
          <w:sz w:val="24"/>
          <w:szCs w:val="24"/>
        </w:rPr>
        <w:t>Перечень заданий по дисциплине</w:t>
      </w:r>
      <w:bookmarkEnd w:id="7"/>
    </w:p>
    <w:p w14:paraId="67710164">
      <w:pPr>
        <w:pStyle w:val="70"/>
        <w:numPr>
          <w:ilvl w:val="0"/>
          <w:numId w:val="0"/>
        </w:numPr>
        <w:tabs>
          <w:tab w:val="left" w:pos="993"/>
        </w:tabs>
        <w:spacing w:after="0" w:line="240" w:lineRule="auto"/>
        <w:ind w:left="728" w:leftChars="0" w:right="-1" w:rightChar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447BEA3">
      <w:pPr>
        <w:numPr>
          <w:ilvl w:val="1"/>
          <w:numId w:val="1"/>
        </w:numPr>
        <w:tabs>
          <w:tab w:val="left" w:pos="0"/>
        </w:tabs>
        <w:ind w:left="1448" w:leftChars="0" w:hanging="720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Примерные темы коллоквиумов, докладов, эссе, дискуссий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.</w:t>
      </w:r>
    </w:p>
    <w:p w14:paraId="6970BFF8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Страховое право в системе российского права.</w:t>
      </w:r>
    </w:p>
    <w:p w14:paraId="1E598CC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государственного регулирования страховой деятельности в России</w:t>
      </w:r>
    </w:p>
    <w:p w14:paraId="2581804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Страховое законодательство и другие источники страхового права</w:t>
      </w:r>
    </w:p>
    <w:p w14:paraId="742244C8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страхования.</w:t>
      </w:r>
    </w:p>
    <w:p w14:paraId="56D519FC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элементы страхования.</w:t>
      </w:r>
    </w:p>
    <w:p w14:paraId="1C485EB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договора страхования. Общая характеристика договора страхования: существенные условия договора страхования.</w:t>
      </w:r>
    </w:p>
    <w:p w14:paraId="78E4014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Договоры страхования с участием третьих лиц.</w:t>
      </w:r>
    </w:p>
    <w:p w14:paraId="6B60F857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виды страхования.</w:t>
      </w:r>
    </w:p>
    <w:p w14:paraId="1652E0D7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Гарантии финансовой устойчивости и платежеспособности страховщика. </w:t>
      </w:r>
    </w:p>
    <w:p w14:paraId="7A98DAB6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имущественного страхования.</w:t>
      </w:r>
    </w:p>
    <w:p w14:paraId="3341DD0D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Обязательное страхование гражданской ответственности владельцев транспортных средств.</w:t>
      </w:r>
    </w:p>
    <w:p w14:paraId="64C69A2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Экологическое страхование. </w:t>
      </w:r>
    </w:p>
    <w:p w14:paraId="14790A11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гражданской ответственности организаций, эксплуатирующих опасные объекты (возмещение ущерба, нанесенный третьим лицам, в связи с осуществлением им деятельности, представляющей опасность для окружающих).</w:t>
      </w:r>
    </w:p>
    <w:p w14:paraId="53288CE9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виды страхования для нефтегазовых компаний.</w:t>
      </w:r>
    </w:p>
    <w:p w14:paraId="1CF02277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Морское страхование (карго, страхование ответственности судовладельца или фрахтователя, каско). </w:t>
      </w:r>
    </w:p>
    <w:p w14:paraId="4366E8B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Страхование ответственности судовладельца или фрахтователя (умышленное или неосторожное нанесение ущерба грузу либо судну.</w:t>
      </w:r>
    </w:p>
    <w:p w14:paraId="3215BE1D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ответственности судовладельцев, владельцев транспортных средств и аэропортов.</w:t>
      </w:r>
    </w:p>
    <w:p w14:paraId="14AEBD3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Страховые риски по ипотечному страхованию.</w:t>
      </w:r>
    </w:p>
    <w:p w14:paraId="0E9D5BE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Страхование титула защита заёмщика от признания сделки недействительной по приобретению жилья. </w:t>
      </w:r>
    </w:p>
    <w:p w14:paraId="39C0A67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гражданской ответственности за нарушение условий договора.</w:t>
      </w:r>
    </w:p>
    <w:p w14:paraId="2EBEA39B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предпринимательских рисков.</w:t>
      </w:r>
    </w:p>
    <w:p w14:paraId="40C6B6B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гражданской ответственности за причинение вреда.</w:t>
      </w:r>
    </w:p>
    <w:p w14:paraId="629747A0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страхование, дострахование и страхование от разных рисков.</w:t>
      </w:r>
    </w:p>
    <w:p w14:paraId="2ED7BDB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последствия наступления страхового случая по вине страхователя, застрахованного, выгодоприобретателя.</w:t>
      </w:r>
    </w:p>
    <w:p w14:paraId="10DC9A6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ответственности и санкции в страховании.</w:t>
      </w:r>
    </w:p>
    <w:p w14:paraId="7E67FF3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Последствия нарушения правил об обязательном страховании.</w:t>
      </w:r>
    </w:p>
    <w:p w14:paraId="089EB4C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и виды страхования.</w:t>
      </w:r>
    </w:p>
    <w:p w14:paraId="7E273BA3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Гарантии финансовой устойчивости и платежеспособности страховщика.</w:t>
      </w:r>
    </w:p>
    <w:p w14:paraId="32FE00EA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Общая характеристика имущественного страхования.</w:t>
      </w:r>
    </w:p>
    <w:p w14:paraId="75CBD3DB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Обязательное страхование гражданской ответственности владельцев транспортных средств.</w:t>
      </w:r>
    </w:p>
    <w:p w14:paraId="7D160381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Экологическое страхование. </w:t>
      </w:r>
    </w:p>
    <w:p w14:paraId="3225F17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гражданской ответственности организаций, эксплуатирующих опасные объекты (возмещение ущерба, нанесенный третьим лицам, в связи с осуществлением им деятельности, представляющей опасность для окружающих).</w:t>
      </w:r>
    </w:p>
    <w:p w14:paraId="6D75740A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виды страхования для нефтегазовых компаний.</w:t>
      </w:r>
    </w:p>
    <w:p w14:paraId="6610028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Морское страхование (карго, страхование ответственности судовладельца или ф</w:t>
      </w:r>
      <w:r>
        <w:rPr>
          <w:rFonts w:ascii="Times New Roman" w:hAnsi="Times New Roman"/>
          <w:bCs/>
          <w:sz w:val="24"/>
          <w:szCs w:val="24"/>
          <w:lang w:val="ru-RU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ахтователя, каско). </w:t>
      </w:r>
    </w:p>
    <w:p w14:paraId="400F5095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Страхование ответственности судовладельца или фрахтователя (умышленное или неосторожное нанесение ущерба грузу либо судну.</w:t>
      </w:r>
    </w:p>
    <w:p w14:paraId="73090EEB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Страхование ответственности судовладельцев, владельцев транспортных средств и аэропортов.</w:t>
      </w:r>
    </w:p>
    <w:p w14:paraId="1A383768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Страховые риски по ипотечному страхованию.</w:t>
      </w:r>
    </w:p>
    <w:p w14:paraId="13C55731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Страхование титула защита заёмщика от признания сделки недействительной по приобретению жилья. </w:t>
      </w:r>
    </w:p>
    <w:p w14:paraId="410C5AA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Добровольное медицинское страхование (ДМС): перечень услуг предоставляемых по программе ДМС. </w:t>
      </w:r>
    </w:p>
    <w:p w14:paraId="602D8D8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25" w:leftChars="0" w:hanging="425" w:firstLineChars="0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Обязательное медицинское страхование (ОМС). Полис ОМС: право на бесплатную медицинскую помощь.</w:t>
      </w:r>
    </w:p>
    <w:p w14:paraId="5FF0D7D3">
      <w:pPr>
        <w:pStyle w:val="7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8" w:firstLine="0"/>
        <w:contextualSpacing w:val="0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CF010000">
      <w:pPr>
        <w:pStyle w:val="70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48" w:leftChars="0" w:hanging="720" w:firstLineChars="0"/>
        <w:contextualSpacing w:val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14:paraId="638F0279">
      <w:pPr>
        <w:pStyle w:val="7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28" w:leftChars="0" w:right="0" w:rightChars="0"/>
        <w:contextualSpacing w:val="0"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D0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highlight w:val="white"/>
        </w:rPr>
        <w:t>Оценка общего усвоения предложенного материала по курсу осуществляется с помощью тестирования</w:t>
      </w:r>
      <w:r>
        <w:rPr>
          <w:rFonts w:hint="default" w:ascii="Times New Roman" w:hAnsi="Times New Roman"/>
          <w:sz w:val="24"/>
          <w:szCs w:val="24"/>
          <w:highlight w:val="white"/>
          <w:lang w:val="ru-RU"/>
        </w:rPr>
        <w:t>/письменного опроса</w:t>
      </w:r>
      <w:r>
        <w:rPr>
          <w:rFonts w:ascii="Times New Roman" w:hAnsi="Times New Roman"/>
          <w:sz w:val="24"/>
          <w:szCs w:val="24"/>
          <w:highlight w:val="white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</w:p>
    <w:p w14:paraId="D101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Вопросы к зачету</w:t>
      </w:r>
      <w:r>
        <w:rPr>
          <w:rFonts w:ascii="Times New Roman" w:hAnsi="Times New Roman"/>
          <w:sz w:val="24"/>
          <w:szCs w:val="24"/>
          <w:highlight w:val="white"/>
        </w:rPr>
        <w:t>:</w:t>
      </w:r>
    </w:p>
    <w:p w14:paraId="155CB9F2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Страховое законодательство и другие источники страхового права.</w:t>
      </w:r>
    </w:p>
    <w:p w14:paraId="215628CC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страхования.</w:t>
      </w:r>
    </w:p>
    <w:p w14:paraId="0167D036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элементы страхования. </w:t>
      </w:r>
    </w:p>
    <w:p w14:paraId="06AB60A4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виды страхования.</w:t>
      </w:r>
    </w:p>
    <w:p w14:paraId="77A72FD2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договора страхования: существенные условия договора страхования.</w:t>
      </w:r>
    </w:p>
    <w:p w14:paraId="63E2721F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заключения договора страхования. Права и обязанности сторон договора страхования.</w:t>
      </w:r>
    </w:p>
    <w:p w14:paraId="01410055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имущественного страхования.</w:t>
      </w:r>
    </w:p>
    <w:p w14:paraId="35B67407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гражданской ответственности за причинение вреда.</w:t>
      </w:r>
    </w:p>
    <w:p w14:paraId="338DFE65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страхование гражданской ответственности владельцев транспортных средств.</w:t>
      </w:r>
    </w:p>
    <w:p w14:paraId="6965436D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гражданской ответственности организаций, эксплуатирующих опасные объекты (возмещение ущерба, нанесенный третьим лицам, в связи с осуществлением им деятельности, представляющей опасность для окружающих).</w:t>
      </w:r>
    </w:p>
    <w:p w14:paraId="6CD8AB86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Экологическое страхование. </w:t>
      </w:r>
    </w:p>
    <w:p w14:paraId="4F392858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ответственности судовладельцев, владельцев транспортных средств и аэропортов.</w:t>
      </w:r>
    </w:p>
    <w:p w14:paraId="5ECD8AC3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гражданской ответственности за нарушение условий договора.</w:t>
      </w:r>
    </w:p>
    <w:p w14:paraId="0E515008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Страхование предпринимательских рисков.</w:t>
      </w:r>
    </w:p>
    <w:p w14:paraId="6077F9AD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страхование, дострахование и страхование от разных рисков</w:t>
      </w:r>
    </w:p>
    <w:p w14:paraId="75B25995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Сострахование, двойное страхование и групповое страхование.</w:t>
      </w:r>
    </w:p>
    <w:p w14:paraId="56238D02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Взаимное страхование и перестрахование.</w:t>
      </w:r>
    </w:p>
    <w:p w14:paraId="2CE56483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последствия наступления страхового случая по вине страхователя, застрахованного, выгодоприобретателя.</w:t>
      </w:r>
    </w:p>
    <w:p w14:paraId="774DC6CF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Договоры страхования с участием третьих лиц.</w:t>
      </w:r>
    </w:p>
    <w:p w14:paraId="7DD0EF80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государственного регулирования страховой деятельности в России.</w:t>
      </w:r>
    </w:p>
    <w:p w14:paraId="53810EE4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Гарантии финансовой устойчивости и платежеспособности страховщика.</w:t>
      </w:r>
    </w:p>
    <w:p w14:paraId="19251161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Банкротство страховых организаций: правовые последствия.</w:t>
      </w:r>
    </w:p>
    <w:p w14:paraId="3E1873D4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ответственности и санкции в страховании.</w:t>
      </w:r>
    </w:p>
    <w:p w14:paraId="4B2071B1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виды страхования для нефтегазовых компаний.</w:t>
      </w:r>
    </w:p>
    <w:p w14:paraId="36B67FCC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Раскрыть особенности страхования в сфере энергетики. </w:t>
      </w:r>
    </w:p>
    <w:p w14:paraId="12518F8D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Морское страхование (карго, страхование ответственности судовладельца или фрахтователя, каско). </w:t>
      </w:r>
    </w:p>
    <w:p w14:paraId="5DFCD0EA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Страхование ответственности судовладельца или фрахтователя (умышленное или неосторожное нанесение ущерба грузу либо судну.</w:t>
      </w:r>
    </w:p>
    <w:p w14:paraId="46E77FCB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Страховые риски по ипотечному страхованию.</w:t>
      </w:r>
    </w:p>
    <w:p w14:paraId="3A1E5FF8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Страхование титула защита заёмщика от признания сделки недействительной по приобретению жилья. </w:t>
      </w:r>
    </w:p>
    <w:p w14:paraId="3A54830A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Разновидности обязательного страхования: раскрыть и дать характеристику). </w:t>
      </w:r>
    </w:p>
    <w:p w14:paraId="5733D738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Основания возникновения, осуществление обязательного страхования. Последствия нарушения правил об обязательном страховании. </w:t>
      </w:r>
    </w:p>
    <w:p w14:paraId="7AD46F35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Добровольное медицинское страхование (ДМС): перечень услуг предоставляемых по программе ДМС. </w:t>
      </w:r>
    </w:p>
    <w:p w14:paraId="57B8A09E">
      <w:pPr>
        <w:pStyle w:val="70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09"/>
          <w:tab w:val="left" w:pos="851"/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04" w:firstLineChars="85"/>
        <w:jc w:val="both"/>
        <w:textAlignment w:val="auto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Обязательное медицинское страхование (ОМС). Полис ОМС: право на бесплатную медицинскую помощь.</w:t>
      </w:r>
    </w:p>
    <w:p w14:paraId="7C35DA24">
      <w:pPr>
        <w:pStyle w:val="115"/>
        <w:tabs>
          <w:tab w:val="left" w:pos="775"/>
        </w:tabs>
        <w:jc w:val="both"/>
        <w:rPr>
          <w:i/>
        </w:rPr>
      </w:pPr>
    </w:p>
    <w:p w14:paraId="E3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bookmarkStart w:id="8" w:name="_Toc8201"/>
      <w:r>
        <w:rPr>
          <w:rFonts w:ascii="Times New Roman" w:hAnsi="Times New Roman"/>
          <w:color w:val="000000"/>
          <w:sz w:val="24"/>
        </w:rPr>
        <w:t>Методические материалы, определяющие процедуры оценивания</w:t>
      </w:r>
      <w:bookmarkEnd w:id="8"/>
    </w:p>
    <w:p w14:paraId="E4010000">
      <w:pPr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418C51C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Процедура оценивания результатов обучения по дисциплине </w:t>
      </w:r>
      <w:r>
        <w:t xml:space="preserve">характеризующих этапы формирования </w:t>
      </w:r>
      <w:r>
        <w:rPr>
          <w:lang w:val="ru-RU"/>
        </w:rPr>
        <w:t>знаний</w:t>
      </w:r>
      <w:r>
        <w:rPr>
          <w:rFonts w:hint="default"/>
          <w:lang w:val="ru-RU"/>
        </w:rPr>
        <w:t>, умений и навыков</w:t>
      </w:r>
      <w:r>
        <w:rPr>
          <w:rStyle w:val="82"/>
          <w:sz w:val="24"/>
        </w:rPr>
        <w:t xml:space="preserve"> представлена паспортом фонда оценочных средств по дисциплин</w:t>
      </w:r>
      <w:r>
        <w:rPr>
          <w:rStyle w:val="82"/>
          <w:sz w:val="24"/>
          <w:lang w:val="ru-RU"/>
        </w:rPr>
        <w:t>е</w:t>
      </w:r>
      <w:r>
        <w:rPr>
          <w:rStyle w:val="82"/>
          <w:rFonts w:hint="default"/>
          <w:sz w:val="24"/>
          <w:lang w:val="ru-RU"/>
        </w:rPr>
        <w:t>.</w:t>
      </w:r>
      <w:r>
        <w:t>.</w:t>
      </w:r>
    </w:p>
    <w:p w14:paraId="E6010000">
      <w:pPr>
        <w:pStyle w:val="41"/>
        <w:widowControl/>
        <w:spacing w:line="240" w:lineRule="auto"/>
        <w:ind w:left="0" w:firstLine="706"/>
      </w:pPr>
      <w:r>
        <w:rPr>
          <w:rStyle w:val="82"/>
          <w:sz w:val="24"/>
        </w:rPr>
        <w:t xml:space="preserve">Комплект оценочных средств хранится </w:t>
      </w:r>
      <w:r>
        <w:t xml:space="preserve">в Центре, ежегодно обновляется. Для промежуточной аттестации в виде экзамена КОС по дисциплине обновляется и утверждается за 14 дней до начала сессионного периода и хранится в недоступном месте от несанкционированного доступа </w:t>
      </w:r>
    </w:p>
    <w:p w14:paraId="E7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Порядок проведения текущего, рубежного контроля</w:t>
      </w:r>
      <w:r>
        <w:rPr>
          <w:rStyle w:val="82"/>
          <w:sz w:val="24"/>
        </w:rPr>
        <w:t xml:space="preserve"> успеваемости, и промежуточной аттестации обучающихся по ОПОП регламентируются Положением о текущем контроле успеваемости, промежуточной аттестации и ликвидации академической задолженности обучающихся по программам аспирантуры.</w:t>
      </w:r>
    </w:p>
    <w:p w14:paraId="E8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Текущий контроль</w:t>
      </w:r>
      <w:r>
        <w:rPr>
          <w:rStyle w:val="82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E9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EA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EB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EC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sz w:val="24"/>
        </w:rPr>
        <w:t>При аттестации обучающихся учитываются следующие факторы:</w:t>
      </w:r>
    </w:p>
    <w:p w14:paraId="ED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Style w:val="82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EE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EF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выполнения письменных работ;</w:t>
      </w:r>
    </w:p>
    <w:p w14:paraId="F0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F1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F2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 обучающимися семинарских занятий;</w:t>
      </w:r>
    </w:p>
    <w:p w14:paraId="F3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занятиях;</w:t>
      </w:r>
    </w:p>
    <w:p w14:paraId="F40100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прохождения контрольных точек по дисциплине (при использовании балльно-рейтинговой системы).</w:t>
      </w:r>
    </w:p>
    <w:p w14:paraId="F5010000">
      <w:pPr>
        <w:pStyle w:val="41"/>
        <w:widowControl/>
        <w:spacing w:line="240" w:lineRule="auto"/>
        <w:ind w:left="0" w:firstLine="706"/>
        <w:rPr>
          <w:rStyle w:val="82"/>
          <w:sz w:val="24"/>
        </w:rPr>
      </w:pPr>
      <w:r>
        <w:rPr>
          <w:rStyle w:val="82"/>
          <w:b/>
          <w:sz w:val="24"/>
        </w:rPr>
        <w:t>Промежуточная аттестация</w:t>
      </w:r>
      <w:r>
        <w:rPr>
          <w:rStyle w:val="82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знаний, умений и навыков обучающихся требованиям, установленным образовательной программой.</w:t>
      </w:r>
    </w:p>
    <w:p w14:paraId="F6010000">
      <w:pPr>
        <w:pStyle w:val="41"/>
        <w:widowControl/>
        <w:spacing w:line="240" w:lineRule="auto"/>
        <w:ind w:left="0" w:firstLine="0"/>
        <w:rPr>
          <w:rStyle w:val="82"/>
          <w:sz w:val="24"/>
        </w:rPr>
      </w:pPr>
    </w:p>
    <w:p w14:paraId="F7010000">
      <w:pPr>
        <w:pStyle w:val="2"/>
        <w:keepNext w:val="0"/>
        <w:keepLines w:val="0"/>
        <w:widowControl w:val="0"/>
        <w:numPr>
          <w:ilvl w:val="0"/>
          <w:numId w:val="1"/>
        </w:numPr>
        <w:tabs>
          <w:tab w:val="left" w:pos="927"/>
        </w:tabs>
        <w:spacing w:before="0" w:line="240" w:lineRule="auto"/>
        <w:ind w:left="1088" w:right="441" w:firstLine="0"/>
        <w:jc w:val="center"/>
        <w:rPr>
          <w:rFonts w:ascii="Times New Roman" w:hAnsi="Times New Roman"/>
          <w:color w:val="000000"/>
          <w:sz w:val="24"/>
        </w:rPr>
      </w:pPr>
      <w:bookmarkStart w:id="9" w:name="_Toc15664"/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  <w:bookmarkEnd w:id="9"/>
    </w:p>
    <w:p w14:paraId="F8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</w:p>
    <w:p w14:paraId="F9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bookmarkStart w:id="10" w:name="_Hlk66195050"/>
      <w:r>
        <w:rPr>
          <w:rFonts w:ascii="Times New Roman" w:hAnsi="Times New Roman"/>
          <w:color w:val="222222"/>
          <w:sz w:val="24"/>
          <w:highlight w:val="white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</w:t>
      </w:r>
      <w:r>
        <w:rPr>
          <w:rFonts w:ascii="Times New Roman" w:hAnsi="Times New Roman"/>
          <w:sz w:val="24"/>
        </w:rPr>
        <w:t>.</w:t>
      </w:r>
      <w:bookmarkEnd w:id="10"/>
    </w:p>
    <w:p w14:paraId="FA010000">
      <w:pPr>
        <w:pStyle w:val="28"/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FB010000">
      <w:pPr>
        <w:widowControl w:val="0"/>
        <w:spacing w:after="0" w:line="240" w:lineRule="auto"/>
        <w:ind w:left="0" w:right="7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FC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</w:p>
    <w:p w14:paraId="FD01000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обучения.</w:t>
      </w:r>
    </w:p>
    <w:tbl>
      <w:tblPr>
        <w:tblStyle w:val="12"/>
        <w:tblW w:w="0" w:type="auto"/>
        <w:tblInd w:w="-5" w:type="dxa"/>
        <w:tblLayout w:type="fixed"/>
        <w:tblCellMar>
          <w:top w:w="7" w:type="dxa"/>
          <w:left w:w="108" w:type="dxa"/>
          <w:bottom w:w="0" w:type="dxa"/>
          <w:right w:w="115" w:type="dxa"/>
        </w:tblCellMar>
      </w:tblPr>
      <w:tblGrid>
        <w:gridCol w:w="1560"/>
        <w:gridCol w:w="1984"/>
        <w:gridCol w:w="5925"/>
      </w:tblGrid>
      <w:tr w14:paraId="4F8D5A7A">
        <w:trPr>
          <w:trHeight w:val="300" w:hRule="atLeast"/>
          <w:tblHeader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E010000">
            <w:pPr>
              <w:widowControl w:val="0"/>
              <w:spacing w:after="0" w:line="240" w:lineRule="auto"/>
              <w:ind w:left="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FF010000">
            <w:pPr>
              <w:widowControl w:val="0"/>
              <w:spacing w:after="0" w:line="240" w:lineRule="auto"/>
              <w:ind w:left="687" w:right="616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 обучения</w:t>
            </w:r>
          </w:p>
        </w:tc>
      </w:tr>
      <w:tr w14:paraId="28DA487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331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0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1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0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3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предусматривающие поступление учебной информации посредством слуха и осязания. </w:t>
            </w:r>
          </w:p>
          <w:p w14:paraId="05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06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осязания;</w:t>
            </w:r>
          </w:p>
          <w:p w14:paraId="07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08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 w14:paraId="39AE04B4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6731CAE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0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B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32F40FC9"/>
        </w:tc>
      </w:tr>
      <w:tr w14:paraId="6BFCFF22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C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0D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0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0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зрительно-осязательный</w:t>
            </w:r>
          </w:p>
        </w:tc>
        <w:tc>
          <w:tcPr>
            <w:tcW w:w="5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0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предполагающие передачу и восприятие учебной информации при помощи зрения и осязания.</w:t>
            </w:r>
          </w:p>
          <w:p w14:paraId="1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аудиальная информация будет адаптирована для лиц с нарушениями слуха:</w:t>
            </w:r>
          </w:p>
          <w:p w14:paraId="1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, основанные на представление учебной информации, при которых задействовано зрительное и слуховое восприятие;</w:t>
            </w:r>
          </w:p>
          <w:p w14:paraId="13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, предусматривающие поступление учебной информации посредством слуха и осязания;</w:t>
            </w:r>
          </w:p>
          <w:p w14:paraId="14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>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 w14:paraId="48CB7C7A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7AB59C3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16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7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w="5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5B53BDDF"/>
        </w:tc>
      </w:tr>
      <w:tr w14:paraId="3F699C2D">
        <w:tblPrEx>
          <w:tblCellMar>
            <w:top w:w="7" w:type="dxa"/>
            <w:left w:w="108" w:type="dxa"/>
            <w:bottom w:w="0" w:type="dxa"/>
            <w:right w:w="115" w:type="dxa"/>
          </w:tblCellMar>
        </w:tblPrEx>
        <w:trPr>
          <w:trHeight w:val="408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8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9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1A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7" w:type="dxa"/>
              <w:right w:w="115" w:type="dxa"/>
            </w:tcMar>
          </w:tcPr>
          <w:p w14:paraId="1B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C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D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1E02000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аудио-визуально-кинестетические.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F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0020000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ресурсов.</w:t>
      </w:r>
    </w:p>
    <w:p w14:paraId="21020000">
      <w:pPr>
        <w:widowControl w:val="0"/>
        <w:spacing w:after="0" w:line="240" w:lineRule="auto"/>
        <w:ind w:left="129" w:firstLine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Условные обозначения:</w:t>
      </w:r>
    </w:p>
    <w:p w14:paraId="22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23020000">
      <w:pPr>
        <w:widowControl w:val="0"/>
        <w:spacing w:after="0" w:line="240" w:lineRule="auto"/>
        <w:ind w:left="129" w:right="30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24020000">
      <w:pPr>
        <w:widowControl w:val="0"/>
        <w:spacing w:after="0" w:line="240" w:lineRule="auto"/>
        <w:ind w:left="129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«АЭ»— альтернативный эквивалент используемого ресурса</w:t>
      </w:r>
    </w:p>
    <w:tbl>
      <w:tblPr>
        <w:tblStyle w:val="12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861"/>
        <w:gridCol w:w="1701"/>
        <w:gridCol w:w="1806"/>
        <w:gridCol w:w="1029"/>
        <w:gridCol w:w="1418"/>
        <w:gridCol w:w="1134"/>
      </w:tblGrid>
      <w:tr w14:paraId="16E7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Категории </w:t>
            </w:r>
          </w:p>
          <w:p w14:paraId="26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</w:p>
          <w:p w14:paraId="27020000">
            <w:pPr>
              <w:widowControl w:val="0"/>
              <w:spacing w:after="0" w:line="240" w:lineRule="auto"/>
              <w:ind w:left="4" w:hanging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нозологиям</w:t>
            </w:r>
          </w:p>
        </w:tc>
        <w:tc>
          <w:tcPr>
            <w:tcW w:w="70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ресурсы</w:t>
            </w:r>
          </w:p>
        </w:tc>
      </w:tr>
      <w:tr w14:paraId="483B4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DA8C14"/>
        </w:tc>
        <w:tc>
          <w:tcPr>
            <w:tcW w:w="59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 w14:paraId="5C928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2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885FF9D"/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2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3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835786"/>
        </w:tc>
      </w:tr>
      <w:tr w14:paraId="38416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1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32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зрения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4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6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(3Dмодели)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аудио описание)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A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3B020000">
            <w:pPr>
              <w:widowControl w:val="0"/>
              <w:spacing w:after="0" w:line="240" w:lineRule="auto"/>
              <w:ind w:left="2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3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Л.Брайля)</w:t>
            </w:r>
          </w:p>
        </w:tc>
      </w:tr>
      <w:tr w14:paraId="3A8F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E088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 w14:paraId="114D9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4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 слуха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5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49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текстовое описание, гипер-</w:t>
            </w:r>
          </w:p>
          <w:p w14:paraId="4A02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32D04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4BA21F2"/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D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E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0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14:paraId="6ACC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540200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5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6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8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9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5A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bookmarkStart w:id="11" w:name="_Hlk504003203"/>
    </w:p>
    <w:p w14:paraId="5B020000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Таблица 7.3. - Формы контроля и оценки результатов обучения инвалидов и лиц с ОВЗ</w:t>
      </w:r>
    </w:p>
    <w:tbl>
      <w:tblPr>
        <w:tblStyle w:val="12"/>
        <w:tblW w:w="0" w:type="auto"/>
        <w:tblInd w:w="0" w:type="dxa"/>
        <w:tblLayout w:type="fixed"/>
        <w:tblCellMar>
          <w:top w:w="53" w:type="dxa"/>
          <w:left w:w="41" w:type="dxa"/>
          <w:bottom w:w="0" w:type="dxa"/>
          <w:right w:w="115" w:type="dxa"/>
        </w:tblCellMar>
      </w:tblPr>
      <w:tblGrid>
        <w:gridCol w:w="1838"/>
        <w:gridCol w:w="7559"/>
      </w:tblGrid>
      <w:tr w14:paraId="3BE767A1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853" w:hRule="atLeast"/>
          <w:tblHeader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C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D02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 w14:paraId="0125E9CA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53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5E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5F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0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проверка:</w:t>
            </w:r>
            <w:r>
              <w:rPr>
                <w:rFonts w:ascii="Times New Roman" w:hAnsi="Times New Roman"/>
                <w:color w:val="000000"/>
              </w:rPr>
              <w:t xml:space="preserve"> дискуссии, тренинги, круглые столы, собеседования, устные коллоквиумы и др.; </w:t>
            </w:r>
          </w:p>
          <w:p w14:paraId="6102000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работы и др. </w:t>
            </w:r>
            <w:r>
              <w:rPr>
                <w:rFonts w:ascii="Times New Roman" w:hAnsi="Times New Roman"/>
                <w:color w:val="000000"/>
              </w:rPr>
              <w:tab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14:paraId="08B2FF32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137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2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слуха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3" w:type="dxa"/>
              <w:left w:w="41" w:type="dxa"/>
              <w:right w:w="115" w:type="dxa"/>
            </w:tcMar>
          </w:tcPr>
          <w:p w14:paraId="63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проверка:</w:t>
            </w:r>
            <w:r>
              <w:rPr>
                <w:rFonts w:ascii="Times New Roman" w:hAnsi="Times New Roman"/>
                <w:color w:val="000000"/>
              </w:rPr>
              <w:t xml:space="preserve"> контрольные, графические работы, тестирование, домашние задания, эссе, письменные коллоквиумы, отчеты и др.; </w:t>
            </w:r>
          </w:p>
          <w:p w14:paraId="64020000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ПО:</w:t>
            </w:r>
            <w:r>
              <w:rPr>
                <w:rFonts w:ascii="Times New Roman" w:hAnsi="Times New Roman"/>
                <w:color w:val="000000"/>
              </w:rPr>
              <w:t xml:space="preserve">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 w14:paraId="6564D933">
        <w:tblPrEx>
          <w:tblCellMar>
            <w:top w:w="53" w:type="dxa"/>
            <w:left w:w="41" w:type="dxa"/>
            <w:bottom w:w="0" w:type="dxa"/>
            <w:right w:w="115" w:type="dxa"/>
          </w:tblCellMar>
        </w:tblPrEx>
        <w:trPr>
          <w:trHeight w:val="3358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502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4" w:type="dxa"/>
              <w:left w:w="41" w:type="dxa"/>
              <w:bottom w:w="0" w:type="dxa"/>
              <w:right w:w="97" w:type="dxa"/>
            </w:tcMar>
          </w:tcPr>
          <w:p w14:paraId="66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67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68020000">
            <w:pPr>
              <w:pStyle w:val="70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11"/>
          </w:p>
        </w:tc>
      </w:tr>
    </w:tbl>
    <w:p w14:paraId="69020000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14:paraId="6A020000">
      <w:pPr>
        <w:widowControl w:val="0"/>
        <w:numPr>
          <w:ilvl w:val="1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текущего контроля для инвалидов и лиц с ограниченными возможностями</w:t>
      </w:r>
    </w:p>
    <w:p w14:paraId="6B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и промежуточная аттестация</w:t>
      </w:r>
      <w:r>
        <w:rPr>
          <w:rFonts w:ascii="Times New Roman" w:hAnsi="Times New Roman"/>
          <w:sz w:val="24"/>
        </w:rPr>
        <w:t xml:space="preserve">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6C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Текущий контроль успеваемости для обучающихся инвалидов и лиц с ОВЗ</w:t>
      </w:r>
      <w:r>
        <w:rPr>
          <w:rFonts w:ascii="Times New Roman" w:hAnsi="Times New Roman"/>
          <w:sz w:val="24"/>
        </w:rPr>
        <w:t xml:space="preserve">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деятельность. Возможно осуществление входного контроля для определения его способностей, особенностей восприятия и готовности к освоению учебного материала. </w:t>
      </w:r>
    </w:p>
    <w:p w14:paraId="6D02000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E020000">
      <w:pPr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Задания для промежуточной аттестации для инвалидов и лиц с ограниченными возможностями</w:t>
      </w:r>
    </w:p>
    <w:p w14:paraId="6F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Форма промежуточной аттестации</w:t>
      </w:r>
      <w:r>
        <w:rPr>
          <w:rFonts w:ascii="Times New Roman" w:hAnsi="Times New Roman"/>
          <w:sz w:val="24"/>
        </w:rPr>
        <w:t xml:space="preserve">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70020000">
      <w:pPr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</w:t>
      </w:r>
      <w:r>
        <w:rPr>
          <w:rFonts w:ascii="Times New Roman" w:hAnsi="Times New Roman"/>
          <w:sz w:val="24"/>
        </w:rPr>
        <w:t>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с учетом индивидуальных психофизических особенностей обучающихся.</w:t>
      </w:r>
    </w:p>
    <w:p w14:paraId="71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p w14:paraId="72020000">
      <w:pPr>
        <w:spacing w:after="0" w:line="240" w:lineRule="auto"/>
        <w:rPr>
          <w:rFonts w:ascii="Times New Roman" w:hAnsi="Times New Roman"/>
          <w:color w:val="FF0000"/>
          <w:sz w:val="28"/>
        </w:rPr>
      </w:pPr>
    </w:p>
    <w:sectPr>
      <w:headerReference r:id="rId5" w:type="default"/>
      <w:footerReference r:id="rId6" w:type="default"/>
      <w:pgSz w:w="11906" w:h="16838"/>
      <w:pgMar w:top="1134" w:right="851" w:bottom="1134" w:left="1701" w:header="34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6A705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37"/>
      <w:jc w:val="right"/>
    </w:pPr>
  </w:p>
  <w:p w14:paraId="04000000">
    <w:pPr>
      <w:pStyle w:val="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62"/>
      <w:keepNext/>
      <w:keepLines/>
      <w:spacing w:line="240" w:lineRule="auto"/>
      <w:ind w:left="23" w:firstLine="740"/>
      <w:jc w:val="right"/>
      <w:rPr>
        <w:rStyle w:val="51"/>
        <w:b w:val="0"/>
      </w:rPr>
    </w:pPr>
  </w:p>
  <w:p w14:paraId="02000000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1">
    <w:nsid w:val="C9701B6E"/>
    <w:multiLevelType w:val="multilevel"/>
    <w:tmpl w:val="C9701B6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firstLine="644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1364" w:firstLineChars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425"/>
        </w:tabs>
        <w:ind w:left="425" w:leftChars="0" w:firstLine="2264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804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3524" w:firstLineChars="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25"/>
        </w:tabs>
        <w:ind w:left="425" w:leftChars="0" w:firstLine="4424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964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5684" w:firstLineChars="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425"/>
        </w:tabs>
        <w:ind w:left="425" w:leftChars="0" w:firstLine="6584" w:firstLineChars="0"/>
      </w:pPr>
      <w:rPr>
        <w:rFonts w:hint="default"/>
      </w:rPr>
    </w:lvl>
  </w:abstractNum>
  <w:abstractNum w:abstractNumId="2">
    <w:nsid w:val="F1BE292A"/>
    <w:multiLevelType w:val="singleLevel"/>
    <w:tmpl w:val="F1BE292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  <w:b/>
        <w:sz w:val="24"/>
      </w:rPr>
    </w:lvl>
    <w:lvl w:ilvl="1" w:tentative="0">
      <w:start w:val="1"/>
      <w:numFmt w:val="decimal"/>
      <w:lvlText w:val="%1.%2."/>
      <w:lvlJc w:val="left"/>
      <w:pPr>
        <w:ind w:left="1448" w:hanging="720"/>
      </w:pPr>
    </w:lvl>
    <w:lvl w:ilvl="2" w:tentative="0">
      <w:start w:val="1"/>
      <w:numFmt w:val="decimal"/>
      <w:lvlText w:val="%1.%2.%3."/>
      <w:lvlJc w:val="left"/>
      <w:pPr>
        <w:ind w:left="1448" w:hanging="720"/>
      </w:pPr>
    </w:lvl>
    <w:lvl w:ilvl="3" w:tentative="0">
      <w:start w:val="1"/>
      <w:numFmt w:val="decimal"/>
      <w:lvlText w:val="%1.%2.%3.%4."/>
      <w:lvlJc w:val="left"/>
      <w:pPr>
        <w:ind w:left="1808" w:hanging="1080"/>
      </w:pPr>
    </w:lvl>
    <w:lvl w:ilvl="4" w:tentative="0">
      <w:start w:val="1"/>
      <w:numFmt w:val="decimal"/>
      <w:lvlText w:val="%1.%2.%3.%4.%5."/>
      <w:lvlJc w:val="left"/>
      <w:pPr>
        <w:ind w:left="1808" w:hanging="1080"/>
      </w:pPr>
    </w:lvl>
    <w:lvl w:ilvl="5" w:tentative="0">
      <w:start w:val="1"/>
      <w:numFmt w:val="decimal"/>
      <w:lvlText w:val="%1.%2.%3.%4.%5.%6."/>
      <w:lvlJc w:val="left"/>
      <w:pPr>
        <w:ind w:left="2168" w:hanging="1440"/>
      </w:pPr>
    </w:lvl>
    <w:lvl w:ilvl="6" w:tentative="0">
      <w:start w:val="1"/>
      <w:numFmt w:val="decimal"/>
      <w:lvlText w:val="%1.%2.%3.%4.%5.%6.%7."/>
      <w:lvlJc w:val="left"/>
      <w:pPr>
        <w:ind w:left="2528" w:hanging="1800"/>
      </w:pPr>
    </w:lvl>
    <w:lvl w:ilvl="7" w:tentative="0">
      <w:start w:val="1"/>
      <w:numFmt w:val="decimal"/>
      <w:lvlText w:val="%1.%2.%3.%4.%5.%6.%7.%8."/>
      <w:lvlJc w:val="left"/>
      <w:pPr>
        <w:ind w:left="2528" w:hanging="1800"/>
      </w:pPr>
    </w:lvl>
    <w:lvl w:ilvl="8" w:tentative="0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4">
    <w:nsid w:val="0248C179"/>
    <w:multiLevelType w:val="multilevel"/>
    <w:tmpl w:val="0248C179"/>
    <w:lvl w:ilvl="0" w:tentative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A8F537B"/>
    <w:multiLevelType w:val="multilevel"/>
    <w:tmpl w:val="2A8F537B"/>
    <w:lvl w:ilvl="0" w:tentative="0">
      <w:start w:val="1"/>
      <w:numFmt w:val="bullet"/>
      <w:lvlText w:val=""/>
      <w:lvlJc w:val="left"/>
      <w:pPr>
        <w:ind w:left="0" w:firstLine="0"/>
      </w:pPr>
      <w:rPr>
        <w:rFonts w:ascii="Symbol" w:hAnsi="Symbol"/>
        <w:b w:val="0"/>
        <w:i w:val="0"/>
        <w:strike w:val="0"/>
        <w:color w:val="000000"/>
        <w:sz w:val="22"/>
        <w:u w:val="none" w:color="000000"/>
      </w:rPr>
    </w:lvl>
    <w:lvl w:ilvl="1" w:tentative="0">
      <w:start w:val="1"/>
      <w:numFmt w:val="bullet"/>
      <w:lvlText w:val="o"/>
      <w:lvlJc w:val="left"/>
      <w:pPr>
        <w:ind w:left="154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2" w:tentative="0">
      <w:start w:val="1"/>
      <w:numFmt w:val="bullet"/>
      <w:lvlText w:val="▪"/>
      <w:lvlJc w:val="left"/>
      <w:pPr>
        <w:ind w:left="22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3" w:tentative="0">
      <w:start w:val="1"/>
      <w:numFmt w:val="bullet"/>
      <w:lvlText w:val="•"/>
      <w:lvlJc w:val="left"/>
      <w:pPr>
        <w:ind w:left="298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4" w:tentative="0">
      <w:start w:val="1"/>
      <w:numFmt w:val="bullet"/>
      <w:lvlText w:val="o"/>
      <w:lvlJc w:val="left"/>
      <w:pPr>
        <w:ind w:left="370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5" w:tentative="0">
      <w:start w:val="1"/>
      <w:numFmt w:val="bullet"/>
      <w:lvlText w:val="▪"/>
      <w:lvlJc w:val="left"/>
      <w:pPr>
        <w:ind w:left="442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6" w:tentative="0">
      <w:start w:val="1"/>
      <w:numFmt w:val="bullet"/>
      <w:lvlText w:val="•"/>
      <w:lvlJc w:val="left"/>
      <w:pPr>
        <w:ind w:left="5146" w:firstLine="0"/>
      </w:pPr>
      <w:rPr>
        <w:rFonts w:ascii="Arial" w:hAnsi="Arial"/>
        <w:b w:val="0"/>
        <w:i w:val="0"/>
        <w:strike w:val="0"/>
        <w:color w:val="000000"/>
        <w:sz w:val="22"/>
        <w:u w:val="none" w:color="000000"/>
      </w:rPr>
    </w:lvl>
    <w:lvl w:ilvl="7" w:tentative="0">
      <w:start w:val="1"/>
      <w:numFmt w:val="bullet"/>
      <w:lvlText w:val="o"/>
      <w:lvlJc w:val="left"/>
      <w:pPr>
        <w:ind w:left="586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  <w:lvl w:ilvl="8" w:tentative="0">
      <w:start w:val="1"/>
      <w:numFmt w:val="bullet"/>
      <w:lvlText w:val="▪"/>
      <w:lvlJc w:val="left"/>
      <w:pPr>
        <w:ind w:left="6586" w:firstLine="0"/>
      </w:pPr>
      <w:rPr>
        <w:rFonts w:ascii="Segoe UI Symbol" w:hAnsi="Segoe UI Symbol"/>
        <w:b w:val="0"/>
        <w:i w:val="0"/>
        <w:strike w:val="0"/>
        <w:color w:val="000000"/>
        <w:sz w:val="22"/>
        <w:u w:val="none" w:color="000000"/>
      </w:rPr>
    </w:lvl>
  </w:abstractNum>
  <w:abstractNum w:abstractNumId="6">
    <w:nsid w:val="5A241D34"/>
    <w:multiLevelType w:val="multilevel"/>
    <w:tmpl w:val="5A241D34"/>
    <w:lvl w:ilvl="0" w:tentative="0">
      <w:start w:val="1"/>
      <w:numFmt w:val="bullet"/>
      <w:lvlText w:val=""/>
      <w:lvlJc w:val="left"/>
      <w:pPr>
        <w:ind w:left="1145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865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025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185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7B62F0"/>
    <w:rsid w:val="06DA4366"/>
    <w:rsid w:val="231709E7"/>
    <w:rsid w:val="2746721A"/>
    <w:rsid w:val="2F3449C9"/>
    <w:rsid w:val="31065848"/>
    <w:rsid w:val="42CA4004"/>
    <w:rsid w:val="49916873"/>
    <w:rsid w:val="4C7B2999"/>
    <w:rsid w:val="555D6D7F"/>
    <w:rsid w:val="787C4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b/>
      <w:color w:val="94B6D2"/>
      <w:sz w:val="20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b/>
      <w:i/>
      <w:color w:val="94B6D2"/>
      <w:sz w:val="20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color w:val="345C7D"/>
      <w:sz w:val="20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i/>
      <w:color w:val="345C7D"/>
      <w:sz w:val="20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color w:val="94B6D2"/>
      <w:sz w:val="20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11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Emphasis"/>
    <w:qFormat/>
    <w:uiPriority w:val="0"/>
    <w:rPr>
      <w:i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Strong"/>
    <w:qFormat/>
    <w:uiPriority w:val="0"/>
    <w:rPr>
      <w:b/>
    </w:rPr>
  </w:style>
  <w:style w:type="paragraph" w:styleId="19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0">
    <w:name w:val="caption"/>
    <w:basedOn w:val="1"/>
    <w:next w:val="1"/>
    <w:qFormat/>
    <w:uiPriority w:val="0"/>
    <w:pPr>
      <w:spacing w:line="240" w:lineRule="auto"/>
    </w:pPr>
    <w:rPr>
      <w:b/>
      <w:color w:val="94B6D2"/>
      <w:sz w:val="18"/>
    </w:rPr>
  </w:style>
  <w:style w:type="paragraph" w:styleId="21">
    <w:name w:val="annotation text"/>
    <w:basedOn w:val="1"/>
    <w:qFormat/>
    <w:uiPriority w:val="0"/>
    <w:pPr>
      <w:spacing w:line="240" w:lineRule="auto"/>
    </w:pPr>
    <w:rPr>
      <w:sz w:val="20"/>
    </w:rPr>
  </w:style>
  <w:style w:type="paragraph" w:styleId="22">
    <w:name w:val="annotation subject"/>
    <w:basedOn w:val="21"/>
    <w:next w:val="21"/>
    <w:qFormat/>
    <w:uiPriority w:val="0"/>
    <w:rPr>
      <w:b/>
    </w:rPr>
  </w:style>
  <w:style w:type="paragraph" w:styleId="23">
    <w:name w:val="Document Map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24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5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26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7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8">
    <w:name w:val="Body Text"/>
    <w:basedOn w:val="1"/>
    <w:qFormat/>
    <w:uiPriority w:val="0"/>
    <w:pPr>
      <w:spacing w:after="120"/>
    </w:pPr>
  </w:style>
  <w:style w:type="paragraph" w:styleId="29">
    <w:name w:val="toc 1"/>
    <w:basedOn w:val="1"/>
    <w:next w:val="1"/>
    <w:qFormat/>
    <w:uiPriority w:val="39"/>
    <w:pPr>
      <w:keepLines/>
      <w:widowControl w:val="0"/>
      <w:tabs>
        <w:tab w:val="left" w:pos="142"/>
        <w:tab w:val="left" w:leader="dot" w:pos="9639"/>
      </w:tabs>
      <w:spacing w:after="0" w:line="240" w:lineRule="auto"/>
    </w:pPr>
    <w:rPr>
      <w:rFonts w:ascii="Times New Roman" w:hAnsi="Times New Roman"/>
      <w:caps/>
      <w:sz w:val="24"/>
    </w:rPr>
  </w:style>
  <w:style w:type="paragraph" w:styleId="30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1">
    <w:name w:val="toc 3"/>
    <w:basedOn w:val="1"/>
    <w:next w:val="1"/>
    <w:qFormat/>
    <w:uiPriority w:val="39"/>
    <w:pPr>
      <w:ind w:left="440" w:firstLine="0"/>
    </w:pPr>
    <w:rPr>
      <w:rFonts w:ascii="Times New Roman" w:hAnsi="Times New Roman"/>
      <w:sz w:val="24"/>
    </w:rPr>
  </w:style>
  <w:style w:type="paragraph" w:styleId="32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paragraph" w:styleId="33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4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35">
    <w:name w:val="Body Text Indent"/>
    <w:basedOn w:val="1"/>
    <w:qFormat/>
    <w:uiPriority w:val="0"/>
    <w:pPr>
      <w:spacing w:after="120" w:line="240" w:lineRule="auto"/>
      <w:ind w:left="283" w:firstLine="0"/>
    </w:pPr>
    <w:rPr>
      <w:rFonts w:ascii="Times New Roman" w:hAnsi="Times New Roman"/>
      <w:sz w:val="24"/>
    </w:rPr>
  </w:style>
  <w:style w:type="paragraph" w:styleId="36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37">
    <w:name w:val="footer"/>
    <w:basedOn w:val="1"/>
    <w:qFormat/>
    <w:uiPriority w:val="0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hAnsi="Times New Roman"/>
      <w:sz w:val="24"/>
    </w:rPr>
  </w:style>
  <w:style w:type="paragraph" w:styleId="3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39">
    <w:name w:val="Subtitle"/>
    <w:basedOn w:val="1"/>
    <w:next w:val="1"/>
    <w:qFormat/>
    <w:uiPriority w:val="11"/>
    <w:rPr>
      <w:i/>
      <w:color w:val="94B6D2"/>
      <w:spacing w:val="15"/>
      <w:sz w:val="24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1">
    <w:name w:val="Style5"/>
    <w:basedOn w:val="1"/>
    <w:link w:val="42"/>
    <w:qFormat/>
    <w:uiPriority w:val="0"/>
    <w:pPr>
      <w:widowControl w:val="0"/>
      <w:spacing w:after="0" w:line="328" w:lineRule="exact"/>
      <w:ind w:left="0" w:firstLine="713"/>
      <w:jc w:val="both"/>
    </w:pPr>
    <w:rPr>
      <w:rFonts w:ascii="Times New Roman" w:hAnsi="Times New Roman"/>
      <w:sz w:val="24"/>
    </w:rPr>
  </w:style>
  <w:style w:type="character" w:customStyle="1" w:styleId="42">
    <w:name w:val="Style51"/>
    <w:link w:val="41"/>
    <w:qFormat/>
    <w:uiPriority w:val="0"/>
    <w:rPr>
      <w:rFonts w:ascii="Times New Roman" w:hAnsi="Times New Roman"/>
      <w:sz w:val="24"/>
    </w:rPr>
  </w:style>
  <w:style w:type="paragraph" w:styleId="43">
    <w:name w:val="Quote"/>
    <w:basedOn w:val="1"/>
    <w:next w:val="1"/>
    <w:qFormat/>
    <w:uiPriority w:val="0"/>
    <w:rPr>
      <w:i/>
      <w:color w:val="000000"/>
      <w:sz w:val="20"/>
    </w:rPr>
  </w:style>
  <w:style w:type="paragraph" w:customStyle="1" w:styleId="44">
    <w:name w:val="Style58"/>
    <w:basedOn w:val="1"/>
    <w:link w:val="45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45">
    <w:name w:val="Style581"/>
    <w:link w:val="44"/>
    <w:qFormat/>
    <w:uiPriority w:val="0"/>
    <w:rPr>
      <w:rFonts w:ascii="Times New Roman" w:hAnsi="Times New Roman"/>
      <w:sz w:val="24"/>
    </w:rPr>
  </w:style>
  <w:style w:type="paragraph" w:customStyle="1" w:styleId="46">
    <w:name w:val="Endnote"/>
    <w:basedOn w:val="1"/>
    <w:link w:val="47"/>
    <w:qFormat/>
    <w:uiPriority w:val="0"/>
    <w:pPr>
      <w:spacing w:after="0" w:line="240" w:lineRule="auto"/>
    </w:pPr>
    <w:rPr>
      <w:sz w:val="20"/>
    </w:rPr>
  </w:style>
  <w:style w:type="character" w:customStyle="1" w:styleId="47">
    <w:name w:val="Endnote1"/>
    <w:link w:val="46"/>
    <w:qFormat/>
    <w:uiPriority w:val="0"/>
    <w:rPr>
      <w:sz w:val="20"/>
    </w:rPr>
  </w:style>
  <w:style w:type="paragraph" w:styleId="48">
    <w:name w:val="Intense Quote"/>
    <w:basedOn w:val="1"/>
    <w:next w:val="1"/>
    <w:qFormat/>
    <w:uiPriority w:val="0"/>
    <w:pPr>
      <w:spacing w:before="200" w:after="280"/>
      <w:ind w:left="936" w:right="936" w:firstLine="0"/>
    </w:pPr>
    <w:rPr>
      <w:b/>
      <w:i/>
      <w:color w:val="94B6D2"/>
      <w:sz w:val="20"/>
    </w:rPr>
  </w:style>
  <w:style w:type="paragraph" w:styleId="49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color w:val="000000"/>
      <w:spacing w:val="0"/>
      <w:sz w:val="22"/>
    </w:rPr>
  </w:style>
  <w:style w:type="paragraph" w:customStyle="1" w:styleId="50">
    <w:name w:val="Заголовок №74"/>
    <w:link w:val="5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51">
    <w:name w:val="Заголовок №741"/>
    <w:link w:val="50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52">
    <w:name w:val="Font Style13"/>
    <w:link w:val="53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53">
    <w:name w:val="Font Style131"/>
    <w:link w:val="52"/>
    <w:qFormat/>
    <w:uiPriority w:val="0"/>
    <w:rPr>
      <w:rFonts w:ascii="Times New Roman" w:hAnsi="Times New Roman"/>
      <w:sz w:val="26"/>
    </w:rPr>
  </w:style>
  <w:style w:type="paragraph" w:customStyle="1" w:styleId="54">
    <w:name w:val="Font Style73"/>
    <w:link w:val="5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2"/>
    </w:rPr>
  </w:style>
  <w:style w:type="character" w:customStyle="1" w:styleId="55">
    <w:name w:val="Font Style731"/>
    <w:link w:val="54"/>
    <w:qFormat/>
    <w:uiPriority w:val="0"/>
    <w:rPr>
      <w:rFonts w:ascii="Times New Roman" w:hAnsi="Times New Roman"/>
      <w:b/>
      <w:sz w:val="22"/>
    </w:rPr>
  </w:style>
  <w:style w:type="paragraph" w:customStyle="1" w:styleId="56">
    <w:name w:val="Table Paragraph"/>
    <w:basedOn w:val="1"/>
    <w:link w:val="57"/>
    <w:qFormat/>
    <w:uiPriority w:val="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57">
    <w:name w:val="Table Paragraph1"/>
    <w:link w:val="56"/>
    <w:qFormat/>
    <w:uiPriority w:val="0"/>
    <w:rPr>
      <w:rFonts w:ascii="Times New Roman" w:hAnsi="Times New Roman"/>
    </w:rPr>
  </w:style>
  <w:style w:type="paragraph" w:customStyle="1" w:styleId="58">
    <w:name w:val="Style64"/>
    <w:basedOn w:val="1"/>
    <w:link w:val="59"/>
    <w:qFormat/>
    <w:uiPriority w:val="0"/>
    <w:pPr>
      <w:widowControl w:val="0"/>
      <w:spacing w:after="0" w:line="331" w:lineRule="exact"/>
    </w:pPr>
    <w:rPr>
      <w:rFonts w:ascii="Times New Roman" w:hAnsi="Times New Roman"/>
      <w:sz w:val="24"/>
    </w:rPr>
  </w:style>
  <w:style w:type="character" w:customStyle="1" w:styleId="59">
    <w:name w:val="Style641"/>
    <w:link w:val="58"/>
    <w:qFormat/>
    <w:uiPriority w:val="0"/>
    <w:rPr>
      <w:rFonts w:ascii="Times New Roman" w:hAnsi="Times New Roman"/>
      <w:sz w:val="24"/>
    </w:rPr>
  </w:style>
  <w:style w:type="paragraph" w:customStyle="1" w:styleId="60">
    <w:name w:val="Основной текст (6)3"/>
    <w:link w:val="61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61">
    <w:name w:val="Основной текст (6)31"/>
    <w:link w:val="60"/>
    <w:qFormat/>
    <w:uiPriority w:val="0"/>
    <w:rPr>
      <w:rFonts w:ascii="Times New Roman" w:hAnsi="Times New Roman"/>
      <w:highlight w:val="white"/>
    </w:rPr>
  </w:style>
  <w:style w:type="paragraph" w:customStyle="1" w:styleId="62">
    <w:name w:val="Заголовок №71"/>
    <w:basedOn w:val="1"/>
    <w:link w:val="63"/>
    <w:qFormat/>
    <w:uiPriority w:val="0"/>
    <w:pPr>
      <w:spacing w:after="0" w:line="482" w:lineRule="exact"/>
      <w:outlineLvl w:val="6"/>
    </w:pPr>
    <w:rPr>
      <w:rFonts w:ascii="Times New Roman" w:hAnsi="Times New Roman"/>
      <w:b/>
      <w:sz w:val="27"/>
    </w:rPr>
  </w:style>
  <w:style w:type="character" w:customStyle="1" w:styleId="63">
    <w:name w:val="Заголовок №711"/>
    <w:link w:val="62"/>
    <w:qFormat/>
    <w:uiPriority w:val="0"/>
    <w:rPr>
      <w:rFonts w:ascii="Times New Roman" w:hAnsi="Times New Roman"/>
      <w:b/>
      <w:sz w:val="27"/>
    </w:rPr>
  </w:style>
  <w:style w:type="paragraph" w:customStyle="1" w:styleId="64">
    <w:name w:val="Font Style77"/>
    <w:link w:val="65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2"/>
    </w:rPr>
  </w:style>
  <w:style w:type="character" w:customStyle="1" w:styleId="65">
    <w:name w:val="Font Style771"/>
    <w:link w:val="64"/>
    <w:qFormat/>
    <w:uiPriority w:val="0"/>
    <w:rPr>
      <w:rFonts w:ascii="Times New Roman" w:hAnsi="Times New Roman"/>
      <w:sz w:val="22"/>
    </w:rPr>
  </w:style>
  <w:style w:type="paragraph" w:customStyle="1" w:styleId="66">
    <w:name w:val="Заголовок №72"/>
    <w:link w:val="67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  <w:u w:val="single"/>
    </w:rPr>
  </w:style>
  <w:style w:type="character" w:customStyle="1" w:styleId="67">
    <w:name w:val="Заголовок №721"/>
    <w:link w:val="66"/>
    <w:qFormat/>
    <w:uiPriority w:val="0"/>
    <w:rPr>
      <w:rFonts w:ascii="Times New Roman" w:hAnsi="Times New Roman"/>
      <w:b/>
      <w:sz w:val="27"/>
      <w:highlight w:val="white"/>
      <w:u w:val="single"/>
    </w:rPr>
  </w:style>
  <w:style w:type="paragraph" w:customStyle="1" w:styleId="68">
    <w:name w:val="WW-Базовый"/>
    <w:link w:val="69"/>
    <w:qFormat/>
    <w:uiPriority w:val="0"/>
    <w:pPr>
      <w:spacing w:before="0" w:after="0" w:line="100" w:lineRule="atLeast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69">
    <w:name w:val="WW-Базовый1"/>
    <w:link w:val="68"/>
    <w:qFormat/>
    <w:uiPriority w:val="0"/>
    <w:rPr>
      <w:rFonts w:ascii="Times New Roman" w:hAnsi="Times New Roman"/>
      <w:color w:val="000000"/>
      <w:sz w:val="24"/>
    </w:rPr>
  </w:style>
  <w:style w:type="paragraph" w:styleId="70">
    <w:name w:val="List Paragraph"/>
    <w:basedOn w:val="1"/>
    <w:qFormat/>
    <w:uiPriority w:val="0"/>
    <w:pPr>
      <w:ind w:left="720" w:firstLine="0"/>
      <w:contextualSpacing/>
    </w:pPr>
  </w:style>
  <w:style w:type="paragraph" w:customStyle="1" w:styleId="71">
    <w:name w:val="Subtle Reference"/>
    <w:link w:val="72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smallCaps/>
      <w:color w:val="DD8047"/>
      <w:spacing w:val="0"/>
      <w:sz w:val="20"/>
      <w:u w:val="single"/>
    </w:rPr>
  </w:style>
  <w:style w:type="character" w:customStyle="1" w:styleId="72">
    <w:name w:val="Subtle Reference1"/>
    <w:link w:val="71"/>
    <w:qFormat/>
    <w:uiPriority w:val="0"/>
    <w:rPr>
      <w:smallCaps/>
      <w:color w:val="DD8047"/>
      <w:u w:val="single"/>
    </w:rPr>
  </w:style>
  <w:style w:type="paragraph" w:customStyle="1" w:styleId="73">
    <w:name w:val="Основной текст + Курсив2"/>
    <w:link w:val="7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7"/>
      <w:highlight w:val="white"/>
    </w:rPr>
  </w:style>
  <w:style w:type="character" w:customStyle="1" w:styleId="74">
    <w:name w:val="Основной текст + Курсив21"/>
    <w:link w:val="73"/>
    <w:qFormat/>
    <w:uiPriority w:val="0"/>
    <w:rPr>
      <w:rFonts w:ascii="Times New Roman" w:hAnsi="Times New Roman"/>
      <w:i/>
      <w:sz w:val="27"/>
      <w:highlight w:val="white"/>
    </w:rPr>
  </w:style>
  <w:style w:type="paragraph" w:customStyle="1" w:styleId="75">
    <w:name w:val="Основной текст (5) + Курсив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</w:rPr>
  </w:style>
  <w:style w:type="character" w:customStyle="1" w:styleId="76">
    <w:name w:val="Основной текст (5) + Курсив1"/>
    <w:link w:val="75"/>
    <w:qFormat/>
    <w:uiPriority w:val="0"/>
    <w:rPr>
      <w:rFonts w:ascii="Times New Roman" w:hAnsi="Times New Roman"/>
      <w:i/>
      <w:highlight w:val="white"/>
    </w:rPr>
  </w:style>
  <w:style w:type="paragraph" w:customStyle="1" w:styleId="77">
    <w:name w:val="Subtle Emphasis"/>
    <w:link w:val="78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i/>
      <w:color w:val="808080"/>
      <w:spacing w:val="0"/>
      <w:sz w:val="20"/>
    </w:rPr>
  </w:style>
  <w:style w:type="character" w:customStyle="1" w:styleId="78">
    <w:name w:val="Subtle Emphasis1"/>
    <w:link w:val="77"/>
    <w:qFormat/>
    <w:uiPriority w:val="0"/>
    <w:rPr>
      <w:i/>
      <w:color w:val="808080"/>
    </w:rPr>
  </w:style>
  <w:style w:type="paragraph" w:customStyle="1" w:styleId="79">
    <w:name w:val="Основной текст (5)"/>
    <w:basedOn w:val="1"/>
    <w:link w:val="80"/>
    <w:qFormat/>
    <w:uiPriority w:val="0"/>
    <w:pPr>
      <w:spacing w:after="0" w:line="240" w:lineRule="atLeast"/>
    </w:pPr>
    <w:rPr>
      <w:rFonts w:ascii="Times New Roman" w:hAnsi="Times New Roman"/>
      <w:sz w:val="20"/>
    </w:rPr>
  </w:style>
  <w:style w:type="character" w:customStyle="1" w:styleId="80">
    <w:name w:val="Основной текст (5)1"/>
    <w:link w:val="79"/>
    <w:qFormat/>
    <w:uiPriority w:val="0"/>
    <w:rPr>
      <w:rFonts w:ascii="Times New Roman" w:hAnsi="Times New Roman"/>
      <w:sz w:val="20"/>
    </w:rPr>
  </w:style>
  <w:style w:type="paragraph" w:customStyle="1" w:styleId="81">
    <w:name w:val="Font Style76"/>
    <w:link w:val="8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character" w:customStyle="1" w:styleId="82">
    <w:name w:val="Font Style761"/>
    <w:link w:val="81"/>
    <w:qFormat/>
    <w:uiPriority w:val="0"/>
    <w:rPr>
      <w:rFonts w:ascii="Times New Roman" w:hAnsi="Times New Roman"/>
      <w:sz w:val="26"/>
    </w:rPr>
  </w:style>
  <w:style w:type="paragraph" w:customStyle="1" w:styleId="83">
    <w:name w:val="Footnote"/>
    <w:basedOn w:val="1"/>
    <w:link w:val="84"/>
    <w:qFormat/>
    <w:uiPriority w:val="0"/>
    <w:pPr>
      <w:spacing w:after="0" w:line="240" w:lineRule="auto"/>
    </w:pPr>
    <w:rPr>
      <w:sz w:val="20"/>
    </w:rPr>
  </w:style>
  <w:style w:type="character" w:customStyle="1" w:styleId="84">
    <w:name w:val="Footnote1"/>
    <w:link w:val="83"/>
    <w:qFormat/>
    <w:uiPriority w:val="0"/>
    <w:rPr>
      <w:sz w:val="20"/>
    </w:rPr>
  </w:style>
  <w:style w:type="paragraph" w:customStyle="1" w:styleId="85">
    <w:name w:val="Intense Reference"/>
    <w:link w:val="8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DD8047"/>
      <w:spacing w:val="5"/>
      <w:sz w:val="20"/>
      <w:u w:val="single"/>
    </w:rPr>
  </w:style>
  <w:style w:type="character" w:customStyle="1" w:styleId="86">
    <w:name w:val="Intense Reference1"/>
    <w:link w:val="85"/>
    <w:qFormat/>
    <w:uiPriority w:val="0"/>
    <w:rPr>
      <w:b/>
      <w:smallCaps/>
      <w:color w:val="DD8047"/>
      <w:spacing w:val="5"/>
      <w:u w:val="single"/>
    </w:rPr>
  </w:style>
  <w:style w:type="paragraph" w:customStyle="1" w:styleId="87">
    <w:name w:val="Header and Footer"/>
    <w:link w:val="8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88">
    <w:name w:val="Header and Footer1"/>
    <w:link w:val="87"/>
    <w:qFormat/>
    <w:uiPriority w:val="0"/>
    <w:rPr>
      <w:rFonts w:ascii="XO Thames" w:hAnsi="XO Thames"/>
      <w:sz w:val="20"/>
    </w:rPr>
  </w:style>
  <w:style w:type="paragraph" w:customStyle="1" w:styleId="89">
    <w:name w:val="Заголовок №73"/>
    <w:link w:val="9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7"/>
      <w:highlight w:val="white"/>
    </w:rPr>
  </w:style>
  <w:style w:type="character" w:customStyle="1" w:styleId="90">
    <w:name w:val="Заголовок №731"/>
    <w:link w:val="89"/>
    <w:qFormat/>
    <w:uiPriority w:val="0"/>
    <w:rPr>
      <w:rFonts w:ascii="Times New Roman" w:hAnsi="Times New Roman"/>
      <w:b/>
      <w:sz w:val="27"/>
      <w:highlight w:val="white"/>
    </w:rPr>
  </w:style>
  <w:style w:type="paragraph" w:customStyle="1" w:styleId="91">
    <w:name w:val="Стиль1"/>
    <w:basedOn w:val="1"/>
    <w:link w:val="92"/>
    <w:qFormat/>
    <w:uiPriority w:val="0"/>
    <w:pPr>
      <w:spacing w:before="120" w:after="0" w:line="240" w:lineRule="auto"/>
      <w:ind w:left="0" w:firstLine="720"/>
    </w:pPr>
    <w:rPr>
      <w:rFonts w:ascii="Arial" w:hAnsi="Arial"/>
      <w:sz w:val="24"/>
    </w:rPr>
  </w:style>
  <w:style w:type="character" w:customStyle="1" w:styleId="92">
    <w:name w:val="Стиль11"/>
    <w:link w:val="91"/>
    <w:qFormat/>
    <w:uiPriority w:val="0"/>
    <w:rPr>
      <w:rFonts w:ascii="Arial" w:hAnsi="Arial"/>
      <w:sz w:val="24"/>
    </w:rPr>
  </w:style>
  <w:style w:type="paragraph" w:customStyle="1" w:styleId="93">
    <w:name w:val="TOC Heading"/>
    <w:basedOn w:val="2"/>
    <w:next w:val="1"/>
    <w:link w:val="94"/>
    <w:qFormat/>
    <w:uiPriority w:val="0"/>
    <w:pPr>
      <w:outlineLvl w:val="8"/>
    </w:pPr>
  </w:style>
  <w:style w:type="character" w:customStyle="1" w:styleId="94">
    <w:name w:val="TOC Heading1"/>
    <w:link w:val="93"/>
    <w:qFormat/>
    <w:uiPriority w:val="0"/>
  </w:style>
  <w:style w:type="paragraph" w:customStyle="1" w:styleId="95">
    <w:name w:val="Основной текст (39)1"/>
    <w:basedOn w:val="1"/>
    <w:link w:val="96"/>
    <w:qFormat/>
    <w:uiPriority w:val="0"/>
    <w:pPr>
      <w:spacing w:after="60" w:line="240" w:lineRule="atLeast"/>
      <w:jc w:val="both"/>
    </w:pPr>
    <w:rPr>
      <w:rFonts w:ascii="Times New Roman" w:hAnsi="Times New Roman"/>
      <w:i/>
      <w:sz w:val="20"/>
    </w:rPr>
  </w:style>
  <w:style w:type="character" w:customStyle="1" w:styleId="96">
    <w:name w:val="Основной текст (39)11"/>
    <w:link w:val="95"/>
    <w:qFormat/>
    <w:uiPriority w:val="0"/>
    <w:rPr>
      <w:rFonts w:ascii="Times New Roman" w:hAnsi="Times New Roman"/>
      <w:i/>
      <w:sz w:val="20"/>
    </w:rPr>
  </w:style>
  <w:style w:type="paragraph" w:customStyle="1" w:styleId="97">
    <w:name w:val="Обычный1"/>
    <w:link w:val="98"/>
    <w:qFormat/>
    <w:uiPriority w:val="0"/>
    <w:pPr>
      <w:spacing w:before="0" w:after="0" w:line="240" w:lineRule="auto"/>
      <w:ind w:left="0" w:right="0" w:firstLine="567"/>
      <w:jc w:val="both"/>
    </w:pPr>
    <w:rPr>
      <w:rFonts w:ascii="Times New Roman" w:hAnsi="Times New Roman" w:eastAsiaTheme="minorEastAsia" w:cstheme="minorBidi"/>
      <w:color w:val="000000"/>
      <w:spacing w:val="0"/>
      <w:sz w:val="28"/>
    </w:rPr>
  </w:style>
  <w:style w:type="character" w:customStyle="1" w:styleId="98">
    <w:name w:val="Обычный11"/>
    <w:link w:val="97"/>
    <w:qFormat/>
    <w:uiPriority w:val="0"/>
    <w:rPr>
      <w:rFonts w:ascii="Times New Roman" w:hAnsi="Times New Roman"/>
      <w:sz w:val="28"/>
    </w:rPr>
  </w:style>
  <w:style w:type="paragraph" w:customStyle="1" w:styleId="99">
    <w:name w:val="Заголовок №51"/>
    <w:basedOn w:val="1"/>
    <w:link w:val="100"/>
    <w:qFormat/>
    <w:uiPriority w:val="0"/>
    <w:pPr>
      <w:spacing w:before="540" w:after="0" w:line="298" w:lineRule="exact"/>
      <w:jc w:val="both"/>
      <w:outlineLvl w:val="4"/>
    </w:pPr>
    <w:rPr>
      <w:rFonts w:ascii="Times New Roman" w:hAnsi="Times New Roman"/>
      <w:b/>
      <w:sz w:val="27"/>
    </w:rPr>
  </w:style>
  <w:style w:type="character" w:customStyle="1" w:styleId="100">
    <w:name w:val="Заголовок №511"/>
    <w:link w:val="99"/>
    <w:qFormat/>
    <w:uiPriority w:val="0"/>
    <w:rPr>
      <w:rFonts w:ascii="Times New Roman" w:hAnsi="Times New Roman"/>
      <w:b/>
      <w:sz w:val="27"/>
    </w:rPr>
  </w:style>
  <w:style w:type="paragraph" w:customStyle="1" w:styleId="101">
    <w:name w:val="Style13"/>
    <w:basedOn w:val="1"/>
    <w:link w:val="102"/>
    <w:qFormat/>
    <w:uiPriority w:val="0"/>
    <w:pPr>
      <w:widowControl w:val="0"/>
      <w:spacing w:after="0" w:line="335" w:lineRule="exact"/>
      <w:jc w:val="center"/>
    </w:pPr>
    <w:rPr>
      <w:rFonts w:ascii="Times New Roman" w:hAnsi="Times New Roman"/>
      <w:sz w:val="24"/>
    </w:rPr>
  </w:style>
  <w:style w:type="character" w:customStyle="1" w:styleId="102">
    <w:name w:val="Style131"/>
    <w:link w:val="101"/>
    <w:qFormat/>
    <w:uiPriority w:val="0"/>
    <w:rPr>
      <w:rFonts w:ascii="Times New Roman" w:hAnsi="Times New Roman"/>
      <w:sz w:val="24"/>
    </w:rPr>
  </w:style>
  <w:style w:type="paragraph" w:customStyle="1" w:styleId="103">
    <w:name w:val="Style8"/>
    <w:basedOn w:val="1"/>
    <w:link w:val="104"/>
    <w:qFormat/>
    <w:uiPriority w:val="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04">
    <w:name w:val="Style81"/>
    <w:link w:val="103"/>
    <w:qFormat/>
    <w:uiPriority w:val="0"/>
    <w:rPr>
      <w:rFonts w:ascii="Times New Roman" w:hAnsi="Times New Roman"/>
      <w:sz w:val="24"/>
    </w:rPr>
  </w:style>
  <w:style w:type="paragraph" w:customStyle="1" w:styleId="105">
    <w:name w:val="Intense Emphasis"/>
    <w:link w:val="10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i/>
      <w:color w:val="94B6D2"/>
      <w:spacing w:val="0"/>
      <w:sz w:val="20"/>
    </w:rPr>
  </w:style>
  <w:style w:type="character" w:customStyle="1" w:styleId="106">
    <w:name w:val="Intense Emphasis1"/>
    <w:link w:val="105"/>
    <w:qFormat/>
    <w:uiPriority w:val="0"/>
    <w:rPr>
      <w:b/>
      <w:i/>
      <w:color w:val="94B6D2"/>
    </w:rPr>
  </w:style>
  <w:style w:type="paragraph" w:customStyle="1" w:styleId="107">
    <w:name w:val="Название1"/>
    <w:basedOn w:val="1"/>
    <w:next w:val="1"/>
    <w:link w:val="108"/>
    <w:qFormat/>
    <w:uiPriority w:val="0"/>
    <w:pP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108">
    <w:name w:val="Название11"/>
    <w:link w:val="107"/>
    <w:qFormat/>
    <w:uiPriority w:val="0"/>
    <w:rPr>
      <w:color w:val="59473F"/>
      <w:spacing w:val="5"/>
      <w:sz w:val="52"/>
    </w:rPr>
  </w:style>
  <w:style w:type="paragraph" w:customStyle="1" w:styleId="109">
    <w:name w:val="Основной текст (18) + Не курсив"/>
    <w:link w:val="110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0"/>
      <w:highlight w:val="white"/>
    </w:rPr>
  </w:style>
  <w:style w:type="character" w:customStyle="1" w:styleId="110">
    <w:name w:val="Основной текст (18) + Не курсив1"/>
    <w:link w:val="109"/>
    <w:qFormat/>
    <w:uiPriority w:val="0"/>
    <w:rPr>
      <w:rFonts w:ascii="Times New Roman" w:hAnsi="Times New Roman"/>
      <w:highlight w:val="white"/>
    </w:rPr>
  </w:style>
  <w:style w:type="paragraph" w:customStyle="1" w:styleId="111">
    <w:name w:val="Font Style30"/>
    <w:link w:val="112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2">
    <w:name w:val="Font Style301"/>
    <w:link w:val="111"/>
    <w:qFormat/>
    <w:uiPriority w:val="0"/>
    <w:rPr>
      <w:rFonts w:ascii="Times New Roman" w:hAnsi="Times New Roman"/>
      <w:b/>
      <w:sz w:val="26"/>
    </w:rPr>
  </w:style>
  <w:style w:type="paragraph" w:customStyle="1" w:styleId="113">
    <w:name w:val="Основной текст (39)"/>
    <w:link w:val="11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i/>
      <w:color w:val="000000"/>
      <w:spacing w:val="0"/>
      <w:sz w:val="20"/>
      <w:highlight w:val="white"/>
      <w:u w:val="single"/>
    </w:rPr>
  </w:style>
  <w:style w:type="character" w:customStyle="1" w:styleId="114">
    <w:name w:val="Основной текст (39)2"/>
    <w:link w:val="113"/>
    <w:qFormat/>
    <w:uiPriority w:val="0"/>
    <w:rPr>
      <w:rFonts w:ascii="Times New Roman" w:hAnsi="Times New Roman"/>
      <w:i/>
      <w:highlight w:val="white"/>
      <w:u w:val="single"/>
    </w:rPr>
  </w:style>
  <w:style w:type="paragraph" w:customStyle="1" w:styleId="115">
    <w:name w:val="Default"/>
    <w:link w:val="116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</w:rPr>
  </w:style>
  <w:style w:type="character" w:customStyle="1" w:styleId="116">
    <w:name w:val="Default1"/>
    <w:link w:val="115"/>
    <w:qFormat/>
    <w:uiPriority w:val="0"/>
    <w:rPr>
      <w:rFonts w:ascii="Times New Roman" w:hAnsi="Times New Roman"/>
      <w:color w:val="000000"/>
      <w:sz w:val="24"/>
    </w:rPr>
  </w:style>
  <w:style w:type="paragraph" w:customStyle="1" w:styleId="117">
    <w:name w:val="Font Style75"/>
    <w:link w:val="118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6"/>
    </w:rPr>
  </w:style>
  <w:style w:type="character" w:customStyle="1" w:styleId="118">
    <w:name w:val="Font Style751"/>
    <w:link w:val="117"/>
    <w:qFormat/>
    <w:uiPriority w:val="0"/>
    <w:rPr>
      <w:rFonts w:ascii="Times New Roman" w:hAnsi="Times New Roman"/>
      <w:b/>
      <w:sz w:val="26"/>
    </w:rPr>
  </w:style>
  <w:style w:type="paragraph" w:customStyle="1" w:styleId="119">
    <w:name w:val="Style31"/>
    <w:basedOn w:val="1"/>
    <w:link w:val="120"/>
    <w:qFormat/>
    <w:uiPriority w:val="0"/>
    <w:pPr>
      <w:widowControl w:val="0"/>
      <w:spacing w:after="0" w:line="326" w:lineRule="exact"/>
      <w:ind w:left="0" w:firstLine="677"/>
      <w:jc w:val="both"/>
    </w:pPr>
    <w:rPr>
      <w:rFonts w:ascii="Times New Roman" w:hAnsi="Times New Roman"/>
      <w:sz w:val="24"/>
    </w:rPr>
  </w:style>
  <w:style w:type="character" w:customStyle="1" w:styleId="120">
    <w:name w:val="Style311"/>
    <w:link w:val="119"/>
    <w:qFormat/>
    <w:uiPriority w:val="0"/>
    <w:rPr>
      <w:rFonts w:ascii="Times New Roman" w:hAnsi="Times New Roman"/>
      <w:sz w:val="24"/>
    </w:rPr>
  </w:style>
  <w:style w:type="paragraph" w:customStyle="1" w:styleId="121">
    <w:name w:val="Style45"/>
    <w:basedOn w:val="1"/>
    <w:link w:val="122"/>
    <w:qFormat/>
    <w:uiPriority w:val="0"/>
    <w:pPr>
      <w:widowControl w:val="0"/>
      <w:spacing w:after="0" w:line="230" w:lineRule="exact"/>
    </w:pPr>
    <w:rPr>
      <w:rFonts w:ascii="Times New Roman" w:hAnsi="Times New Roman"/>
      <w:sz w:val="24"/>
    </w:rPr>
  </w:style>
  <w:style w:type="character" w:customStyle="1" w:styleId="122">
    <w:name w:val="Style451"/>
    <w:link w:val="121"/>
    <w:qFormat/>
    <w:uiPriority w:val="0"/>
    <w:rPr>
      <w:rFonts w:ascii="Times New Roman" w:hAnsi="Times New Roman"/>
      <w:sz w:val="24"/>
    </w:rPr>
  </w:style>
  <w:style w:type="paragraph" w:customStyle="1" w:styleId="123">
    <w:name w:val="Book Title"/>
    <w:link w:val="124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 w:eastAsiaTheme="minorEastAsia" w:cstheme="minorBidi"/>
      <w:b/>
      <w:smallCaps/>
      <w:color w:val="000000"/>
      <w:spacing w:val="5"/>
      <w:sz w:val="20"/>
    </w:rPr>
  </w:style>
  <w:style w:type="character" w:customStyle="1" w:styleId="124">
    <w:name w:val="Book Title1"/>
    <w:link w:val="123"/>
    <w:qFormat/>
    <w:uiPriority w:val="0"/>
    <w:rPr>
      <w:b/>
      <w:smallCaps/>
      <w:spacing w:val="5"/>
    </w:rPr>
  </w:style>
  <w:style w:type="paragraph" w:customStyle="1" w:styleId="125">
    <w:name w:val="Основной текст (18)"/>
    <w:basedOn w:val="1"/>
    <w:link w:val="126"/>
    <w:qFormat/>
    <w:uiPriority w:val="0"/>
    <w:pPr>
      <w:spacing w:after="0" w:line="259" w:lineRule="exact"/>
      <w:jc w:val="center"/>
    </w:pPr>
    <w:rPr>
      <w:rFonts w:ascii="Times New Roman" w:hAnsi="Times New Roman"/>
      <w:i/>
      <w:sz w:val="20"/>
    </w:rPr>
  </w:style>
  <w:style w:type="character" w:customStyle="1" w:styleId="126">
    <w:name w:val="Основной текст (18)1"/>
    <w:link w:val="125"/>
    <w:qFormat/>
    <w:uiPriority w:val="0"/>
    <w:rPr>
      <w:rFonts w:ascii="Times New Roman" w:hAnsi="Times New Roman"/>
      <w:i/>
      <w:sz w:val="20"/>
    </w:rPr>
  </w:style>
  <w:style w:type="paragraph" w:customStyle="1" w:styleId="127">
    <w:name w:val="Основной текст5"/>
    <w:basedOn w:val="1"/>
    <w:link w:val="128"/>
    <w:qFormat/>
    <w:uiPriority w:val="0"/>
    <w:pPr>
      <w:spacing w:before="1680" w:after="6840" w:line="302" w:lineRule="exact"/>
      <w:jc w:val="center"/>
    </w:pPr>
    <w:rPr>
      <w:rFonts w:ascii="Times New Roman" w:hAnsi="Times New Roman"/>
      <w:sz w:val="23"/>
    </w:rPr>
  </w:style>
  <w:style w:type="character" w:customStyle="1" w:styleId="128">
    <w:name w:val="Основной текст51"/>
    <w:link w:val="127"/>
    <w:qFormat/>
    <w:uiPriority w:val="0"/>
    <w:rPr>
      <w:rFonts w:ascii="Times New Roman" w:hAnsi="Times New Roman"/>
      <w:sz w:val="23"/>
    </w:rPr>
  </w:style>
  <w:style w:type="table" w:customStyle="1" w:styleId="129">
    <w:name w:val="Сетка таблицы светлая1"/>
    <w:basedOn w:val="12"/>
    <w:qFormat/>
    <w:uiPriority w:val="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TotalTime>0</TotalTime>
  <ScaleCrop>false</ScaleCrop>
  <LinksUpToDate>false</LinksUpToDate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2025-07-30T03:00:00Z</dcterms:created>
  <dc:creator>mariy</dc:creator>
  <cp:lastModifiedBy>mariy</cp:lastModifiedBy>
  <dcterms:modified xsi:type="dcterms:W3CDTF">2025-07-31T12:56:34Z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6D5AB541ACE34F7DBD576C70846B937B_12</vt:lpwstr>
  </property>
</Properties>
</file>