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tabs>
          <w:tab w:val="center" w:pos="4677" w:leader="none"/>
          <w:tab w:val="right" w:pos="9355" w:leader="none"/>
        </w:tabs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Автономная некоммерческая организация </w:t>
      </w:r>
      <w:r>
        <w:rPr>
          <w:rFonts w:ascii="Cambria" w:hAnsi="Cambria"/>
          <w:sz w:val="28"/>
        </w:rPr>
      </w:r>
    </w:p>
    <w:p>
      <w:pPr>
        <w:pStyle w:val="770"/>
        <w:ind w:left="0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Cambria" w:hAnsi="Cambria"/>
          <w:b/>
          <w:sz w:val="28"/>
        </w:rPr>
        <w:t xml:space="preserve">«Научно-исследовательский «Центр развития энергетического права и современной правовой науки имени В.А. Мусина»</w:t>
      </w:r>
      <w:r>
        <w:rPr>
          <w:rFonts w:ascii="Times New Roman" w:hAnsi="Times New Roman"/>
          <w:sz w:val="28"/>
        </w:rPr>
      </w:r>
    </w:p>
    <w:p>
      <w:pPr>
        <w:pStyle w:val="770"/>
        <w:ind w:left="0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70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70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70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70"/>
        <w:ind w:left="6096" w:right="-1" w:firstLine="0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ФОНД ОЦЕНОЧНЫХ СРЕДСТВ</w:t>
      </w:r>
      <w:r>
        <w:rPr>
          <w:rFonts w:ascii="Times New Roman" w:hAnsi="Times New Roman"/>
          <w:b/>
          <w:sz w:val="28"/>
        </w:rPr>
      </w:r>
    </w:p>
    <w:p>
      <w:pPr>
        <w:pStyle w:val="770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дисциплине </w:t>
      </w:r>
      <w:r>
        <w:rPr>
          <w:rFonts w:ascii="Times New Roman" w:hAnsi="Times New Roman"/>
          <w:sz w:val="24"/>
        </w:rPr>
      </w:r>
    </w:p>
    <w:p>
      <w:pPr>
        <w:pStyle w:val="770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0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0"/>
        <w:ind w:left="0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hint="default" w:ascii="Times New Roman" w:hAnsi="Times New Roman"/>
          <w:sz w:val="28"/>
          <w:lang w:val="ru-RU"/>
        </w:rPr>
      </w:pPr>
      <w:r>
        <w:rPr>
          <w:rFonts w:hint="default" w:ascii="Times New Roman" w:hAnsi="Times New Roman"/>
          <w:b/>
          <w:spacing w:val="20"/>
          <w:sz w:val="28"/>
          <w:lang w:val="ru-RU"/>
        </w:rPr>
        <w:t xml:space="preserve">Современное газовое право </w:t>
      </w:r>
      <w:r>
        <w:rPr>
          <w:rFonts w:hint="default" w:ascii="Times New Roman" w:hAnsi="Times New Roman"/>
          <w:sz w:val="28"/>
          <w:lang w:val="ru-RU"/>
        </w:rPr>
      </w:r>
    </w:p>
    <w:tbl>
      <w:tblPr>
        <w:tblStyle w:val="712"/>
        <w:tblW w:w="9606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69"/>
        <w:gridCol w:w="6237"/>
      </w:tblGrid>
      <w:tr>
        <w:tblPrEx/>
        <w:trPr/>
        <w:tc>
          <w:tcPr>
            <w:tcW w:w="3369" w:type="dxa"/>
            <w:vAlign w:val="center"/>
            <w:textDirection w:val="lrTb"/>
            <w:noWrap w:val="false"/>
          </w:tcPr>
          <w:p>
            <w:pPr>
              <w:pStyle w:val="770"/>
              <w:ind w:left="0" w:right="-1" w:firstLine="0"/>
              <w:spacing w:after="0" w:line="240" w:lineRule="auto"/>
              <w:tabs>
                <w:tab w:val="left" w:pos="1418" w:leader="none"/>
                <w:tab w:val="left" w:pos="15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Н</w:t>
            </w:r>
            <w:r>
              <w:rPr>
                <w:rFonts w:ascii="Times New Roman" w:hAnsi="Times New Roman"/>
                <w:sz w:val="28"/>
              </w:rPr>
              <w:t xml:space="preserve">аучная специальность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74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749"/>
            </w:pPr>
            <w:r>
              <w:rPr>
                <w:rFonts w:ascii="Times New Roman" w:hAnsi="Times New Roman"/>
                <w:sz w:val="28"/>
              </w:rPr>
              <w:t xml:space="preserve">5.1.2. Публично-правовые (государственно-правовые) науки</w:t>
            </w:r>
            <w:r/>
          </w:p>
          <w:p>
            <w:pPr>
              <w:pStyle w:val="770"/>
              <w:ind w:left="0" w:right="-1" w:firstLine="0"/>
              <w:spacing w:after="0" w:line="240" w:lineRule="auto"/>
              <w:tabs>
                <w:tab w:val="left" w:pos="1418" w:leader="none"/>
                <w:tab w:val="left" w:pos="15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>
          <w:trHeight w:val="283"/>
        </w:trPr>
        <w:tc>
          <w:tcPr>
            <w:tcW w:w="3369" w:type="dxa"/>
            <w:textDirection w:val="lrTb"/>
            <w:noWrap w:val="false"/>
          </w:tcPr>
          <w:p>
            <w:pPr>
              <w:pStyle w:val="770"/>
              <w:ind w:left="0" w:right="-1" w:firstLine="0"/>
              <w:spacing w:after="0" w:line="240" w:lineRule="auto"/>
              <w:tabs>
                <w:tab w:val="left" w:pos="1418" w:leader="none"/>
                <w:tab w:val="left" w:pos="15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770"/>
              <w:ind w:left="0" w:right="-1" w:firstLine="0"/>
              <w:spacing w:after="0" w:line="240" w:lineRule="auto"/>
              <w:tabs>
                <w:tab w:val="left" w:pos="1418" w:leader="none"/>
                <w:tab w:val="left" w:pos="15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Уровень высшего образования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770"/>
              <w:ind w:left="0" w:right="-1" w:firstLine="0"/>
              <w:spacing w:after="0" w:line="240" w:lineRule="auto"/>
              <w:tabs>
                <w:tab w:val="left" w:pos="1418" w:leader="none"/>
                <w:tab w:val="left" w:pos="15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770"/>
              <w:ind w:left="0" w:right="-1" w:firstLine="0"/>
              <w:spacing w:after="0" w:line="240" w:lineRule="auto"/>
              <w:tabs>
                <w:tab w:val="left" w:pos="1418" w:leader="none"/>
                <w:tab w:val="left" w:pos="15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770"/>
              <w:ind w:left="0" w:right="-1" w:firstLine="0"/>
              <w:spacing w:after="0" w:line="240" w:lineRule="auto"/>
              <w:tabs>
                <w:tab w:val="left" w:pos="1418" w:leader="none"/>
                <w:tab w:val="left" w:pos="15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Подготовка кадров высшей квалификации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770"/>
              <w:ind w:left="0" w:right="-1" w:firstLine="0"/>
              <w:spacing w:after="0" w:line="240" w:lineRule="auto"/>
              <w:tabs>
                <w:tab w:val="left" w:pos="1418" w:leader="none"/>
                <w:tab w:val="left" w:pos="15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770"/>
              <w:ind w:left="0" w:right="-1" w:firstLine="0"/>
              <w:spacing w:after="0" w:line="240" w:lineRule="auto"/>
              <w:tabs>
                <w:tab w:val="left" w:pos="1418" w:leader="none"/>
                <w:tab w:val="left" w:pos="156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очная</w:t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202</w:t>
      </w:r>
      <w:r>
        <w:rPr>
          <w:rFonts w:ascii="Times New Roman" w:hAnsi="Times New Roman"/>
          <w:sz w:val="24"/>
          <w:lang w:val="ru-RU"/>
        </w:rPr>
        <w:t xml:space="preserve">4</w:t>
      </w:r>
      <w:r>
        <w:rPr>
          <w:rFonts w:ascii="Times New Roman" w:hAnsi="Times New Roman"/>
          <w:sz w:val="24"/>
        </w:rPr>
        <w:t xml:space="preserve"> г.</w:t>
      </w:r>
      <w:r>
        <w:rPr>
          <w:rFonts w:ascii="Times New Roman" w:hAnsi="Times New Roman"/>
          <w:b/>
          <w:sz w:val="24"/>
        </w:rPr>
        <w:br w:type="page" w:clear="all"/>
      </w:r>
      <w:r>
        <w:rPr>
          <w:rFonts w:ascii="Times New Roman" w:hAnsi="Times New Roman"/>
          <w:b/>
          <w:sz w:val="24"/>
        </w:rPr>
        <w:t xml:space="preserve">СОДЕРЖАНИЕ</w:t>
      </w:r>
      <w:r>
        <w:rPr>
          <w:rFonts w:ascii="Times New Roman" w:hAnsi="Times New Roman"/>
          <w:b/>
          <w:sz w:val="24"/>
        </w:rPr>
      </w:r>
    </w:p>
    <w:p>
      <w:p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</w:r>
      <w:r>
        <w:rPr>
          <w:rFonts w:ascii="Times New Roman" w:hAnsi="Times New Roman"/>
          <w:b w:val="0"/>
          <w:sz w:val="24"/>
        </w:rPr>
      </w:r>
    </w:p>
    <w:p>
      <w:pPr>
        <w:pStyle w:val="729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 xml:space="preserve"> HYPERLINK \l _Toc15338 </w:instrText>
      </w:r>
      <w:r>
        <w:fldChar w:fldCharType="separate"/>
      </w:r>
      <w:r>
        <w:rPr>
          <w:rFonts w:ascii="Times New Roman" w:hAnsi="Times New Roman"/>
        </w:rPr>
        <w:t xml:space="preserve">1. Перечень </w:t>
      </w:r>
      <w:r>
        <w:rPr>
          <w:rFonts w:ascii="Times New Roman" w:hAnsi="Times New Roman"/>
          <w:lang w:val="ru-RU"/>
        </w:rPr>
        <w:t xml:space="preserve">планируемых</w:t>
      </w:r>
      <w:r>
        <w:rPr>
          <w:rFonts w:hint="default" w:ascii="Times New Roman" w:hAnsi="Times New Roman"/>
          <w:lang w:val="ru-RU"/>
        </w:rPr>
        <w:t xml:space="preserve"> результатов освоения дисциплины</w:t>
      </w:r>
      <w:r>
        <w:tab/>
      </w:r>
      <w:r>
        <w:fldChar w:fldCharType="begin"/>
      </w:r>
      <w:r>
        <w:instrText xml:space="preserve"> PAGEREF _Toc15338 \h </w:instrText>
      </w:r>
      <w:r>
        <w:fldChar w:fldCharType="separate"/>
      </w:r>
      <w:r>
        <w:t xml:space="preserve">3</w:t>
      </w:r>
      <w:r>
        <w:fldChar w:fldCharType="end"/>
      </w:r>
      <w:r>
        <w:fldChar w:fldCharType="end"/>
      </w:r>
      <w:r/>
    </w:p>
    <w:p>
      <w:pPr>
        <w:pStyle w:val="729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_Toc32765 </w:instrText>
      </w:r>
      <w:r>
        <w:fldChar w:fldCharType="separate"/>
      </w:r>
      <w:r>
        <w:rPr>
          <w:rFonts w:ascii="Times New Roman" w:hAnsi="Times New Roman"/>
        </w:rPr>
        <w:t xml:space="preserve">2. Структура ФОС по дисциплине</w:t>
      </w:r>
      <w:r>
        <w:tab/>
      </w:r>
      <w:r>
        <w:fldChar w:fldCharType="begin"/>
      </w:r>
      <w:r>
        <w:instrText xml:space="preserve"> PAGEREF _Toc32765 \h </w:instrText>
      </w:r>
      <w:r>
        <w:fldChar w:fldCharType="separate"/>
      </w:r>
      <w:r>
        <w:t xml:space="preserve">3</w:t>
      </w:r>
      <w:r>
        <w:fldChar w:fldCharType="end"/>
      </w:r>
      <w:r>
        <w:fldChar w:fldCharType="end"/>
      </w:r>
      <w:r/>
    </w:p>
    <w:p>
      <w:pPr>
        <w:pStyle w:val="729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_Toc21520 </w:instrText>
      </w:r>
      <w:r>
        <w:fldChar w:fldCharType="separate"/>
      </w:r>
      <w:r>
        <w:rPr>
          <w:rFonts w:ascii="Times New Roman" w:hAnsi="Times New Roman"/>
        </w:rPr>
        <w:t xml:space="preserve">3. Показатели и критерии оценки</w:t>
      </w:r>
      <w:r>
        <w:tab/>
      </w:r>
      <w:r>
        <w:fldChar w:fldCharType="begin"/>
      </w:r>
      <w:r>
        <w:instrText xml:space="preserve"> PAGEREF _Toc21520 \h </w:instrText>
      </w:r>
      <w:r>
        <w:fldChar w:fldCharType="separate"/>
      </w:r>
      <w:r>
        <w:t xml:space="preserve">5</w:t>
      </w:r>
      <w:r>
        <w:fldChar w:fldCharType="end"/>
      </w:r>
      <w:r>
        <w:fldChar w:fldCharType="end"/>
      </w:r>
      <w:r/>
    </w:p>
    <w:p>
      <w:pPr>
        <w:pStyle w:val="729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_Toc24677 </w:instrText>
      </w:r>
      <w:r>
        <w:fldChar w:fldCharType="separate"/>
      </w:r>
      <w:r>
        <w:rPr>
          <w:rFonts w:ascii="Times New Roman" w:hAnsi="Times New Roman"/>
        </w:rPr>
        <w:t xml:space="preserve">4. Шкала оценивания результата</w:t>
      </w:r>
      <w:r>
        <w:tab/>
      </w:r>
      <w:r>
        <w:fldChar w:fldCharType="begin"/>
      </w:r>
      <w:r>
        <w:instrText xml:space="preserve"> PAGEREF _Toc24677 \h </w:instrText>
      </w:r>
      <w:r>
        <w:fldChar w:fldCharType="separate"/>
      </w:r>
      <w:r>
        <w:t xml:space="preserve">7</w:t>
      </w:r>
      <w:r>
        <w:fldChar w:fldCharType="end"/>
      </w:r>
      <w:r>
        <w:fldChar w:fldCharType="end"/>
      </w:r>
      <w:r/>
    </w:p>
    <w:p>
      <w:pPr>
        <w:pStyle w:val="729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_Toc9581 </w:instrText>
      </w:r>
      <w:r>
        <w:fldChar w:fldCharType="separate"/>
      </w:r>
      <w:r>
        <w:rPr>
          <w:rFonts w:hint="default" w:ascii="Times New Roman" w:hAnsi="Times New Roman" w:cs="Times New Roman"/>
          <w:szCs w:val="24"/>
          <w:lang w:val="ru-RU"/>
        </w:rPr>
        <w:t xml:space="preserve">5. </w:t>
      </w:r>
      <w:r>
        <w:rPr>
          <w:rFonts w:hint="default" w:ascii="Times New Roman" w:hAnsi="Times New Roman" w:cs="Times New Roman"/>
          <w:szCs w:val="24"/>
        </w:rPr>
        <w:t xml:space="preserve">Перечень заданий по дисциплине</w:t>
      </w:r>
      <w:r>
        <w:tab/>
      </w:r>
      <w:r>
        <w:fldChar w:fldCharType="begin"/>
      </w:r>
      <w:r>
        <w:instrText xml:space="preserve"> PAGEREF _Toc9581 \h </w:instrText>
      </w:r>
      <w:r>
        <w:fldChar w:fldCharType="separate"/>
      </w:r>
      <w:r>
        <w:t xml:space="preserve">8</w:t>
      </w:r>
      <w:r>
        <w:fldChar w:fldCharType="end"/>
      </w:r>
      <w:r>
        <w:fldChar w:fldCharType="end"/>
      </w:r>
      <w:r/>
    </w:p>
    <w:p>
      <w:pPr>
        <w:pStyle w:val="729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_Toc19756 </w:instrText>
      </w:r>
      <w:r>
        <w:fldChar w:fldCharType="separate"/>
      </w:r>
      <w:r>
        <w:rPr>
          <w:rFonts w:ascii="Times New Roman" w:hAnsi="Times New Roman"/>
        </w:rPr>
        <w:t xml:space="preserve">6. Методические материалы, определяющие процедуры оценивания</w:t>
      </w:r>
      <w:r>
        <w:tab/>
      </w:r>
      <w:r>
        <w:fldChar w:fldCharType="begin"/>
      </w:r>
      <w:r>
        <w:instrText xml:space="preserve"> PAGEREF _Toc19756 \h </w:instrText>
      </w:r>
      <w:r>
        <w:fldChar w:fldCharType="separate"/>
      </w:r>
      <w:r>
        <w:t xml:space="preserve">8</w:t>
      </w:r>
      <w:r>
        <w:fldChar w:fldCharType="end"/>
      </w:r>
      <w:r>
        <w:fldChar w:fldCharType="end"/>
      </w:r>
      <w:r/>
    </w:p>
    <w:p>
      <w:pPr>
        <w:pStyle w:val="729"/>
        <w:tabs>
          <w:tab w:val="clear" w:pos="142" w:leader="none"/>
          <w:tab w:val="right" w:pos="9354" w:leader="dot"/>
          <w:tab w:val="clear" w:pos="9639" w:leader="none"/>
        </w:tabs>
      </w:pPr>
      <w:r>
        <w:fldChar w:fldCharType="begin"/>
      </w:r>
      <w:r>
        <w:instrText xml:space="preserve"> HYPERLINK \l _Toc4763 </w:instrText>
      </w:r>
      <w:r>
        <w:fldChar w:fldCharType="separate"/>
      </w:r>
      <w:r>
        <w:rPr>
          <w:rFonts w:ascii="Times New Roman" w:hAnsi="Times New Roman"/>
        </w:rPr>
        <w:t xml:space="preserve">7. Особенности освоения дисциплины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_Toc4763 \h </w:instrText>
      </w:r>
      <w:r>
        <w:fldChar w:fldCharType="separate"/>
      </w:r>
      <w:r>
        <w:t xml:space="preserve">9</w:t>
      </w:r>
      <w:r>
        <w:fldChar w:fldCharType="end"/>
      </w:r>
      <w:r>
        <w:fldChar w:fldCharType="end"/>
      </w:r>
      <w:r/>
    </w:p>
    <w:p>
      <w:r>
        <w:fldChar w:fldCharType="end"/>
      </w:r>
      <w:r/>
    </w:p>
    <w:p>
      <w:pPr>
        <w:keepLine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right="28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right="28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 w:clear="all"/>
      </w:r>
      <w:r>
        <w:rPr>
          <w:rFonts w:ascii="Times New Roman" w:hAnsi="Times New Roman"/>
          <w:b/>
          <w:sz w:val="24"/>
        </w:rPr>
      </w:r>
    </w:p>
    <w:p>
      <w:pPr>
        <w:pStyle w:val="770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993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0" w:name="page3"/>
      <w:r/>
      <w:bookmarkEnd w:id="0"/>
      <w:r>
        <w:rPr>
          <w:rFonts w:ascii="Times New Roman" w:hAnsi="Times New Roman"/>
          <w:b/>
          <w:sz w:val="24"/>
        </w:rPr>
        <w:t xml:space="preserve"> </w:t>
      </w:r>
      <w:bookmarkStart w:id="1" w:name="_Toc15338"/>
      <w:r/>
      <w:bookmarkStart w:id="2" w:name="_Toc25200"/>
      <w:r>
        <w:rPr>
          <w:rFonts w:ascii="Times New Roman" w:hAnsi="Times New Roman"/>
          <w:b/>
          <w:sz w:val="24"/>
        </w:rPr>
        <w:t xml:space="preserve">Перечень </w:t>
      </w:r>
      <w:r>
        <w:rPr>
          <w:rFonts w:ascii="Times New Roman" w:hAnsi="Times New Roman"/>
          <w:b/>
          <w:sz w:val="24"/>
          <w:lang w:val="ru-RU"/>
        </w:rPr>
        <w:t xml:space="preserve">планируемых</w:t>
      </w:r>
      <w:r>
        <w:rPr>
          <w:rFonts w:hint="default" w:ascii="Times New Roman" w:hAnsi="Times New Roman"/>
          <w:b/>
          <w:sz w:val="24"/>
          <w:lang w:val="ru-RU"/>
        </w:rPr>
        <w:t xml:space="preserve"> результатов освоения дисциплины</w:t>
      </w:r>
      <w:bookmarkEnd w:id="1"/>
      <w:r/>
      <w:bookmarkEnd w:id="2"/>
      <w:r/>
      <w:r>
        <w:rPr>
          <w:rFonts w:ascii="Times New Roman" w:hAnsi="Times New Roman"/>
          <w:b/>
          <w:sz w:val="24"/>
        </w:rPr>
      </w:r>
    </w:p>
    <w:p>
      <w:pPr>
        <w:pStyle w:val="770"/>
        <w:ind w:left="0" w:right="-1" w:firstLine="728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70"/>
        <w:numPr>
          <w:ilvl w:val="1"/>
          <w:numId w:val="1"/>
        </w:numPr>
        <w:ind w:left="0" w:right="-1" w:firstLine="728"/>
        <w:jc w:val="both"/>
        <w:spacing w:after="0" w:line="240" w:lineRule="auto"/>
        <w:tabs>
          <w:tab w:val="left" w:pos="1418" w:leader="none"/>
          <w:tab w:val="left" w:pos="1560" w:leader="none"/>
          <w:tab w:val="left" w:pos="963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Фонд оценочных средств предназначен для оценки освоения образовательных результатов по </w:t>
      </w:r>
      <w:r>
        <w:rPr>
          <w:rFonts w:ascii="Times New Roman" w:hAnsi="Times New Roman"/>
          <w:i/>
          <w:sz w:val="24"/>
        </w:rPr>
        <w:t xml:space="preserve">учебной дисциплине</w:t>
      </w:r>
      <w:r>
        <w:rPr>
          <w:rFonts w:hint="default" w:ascii="Times New Roman" w:hAnsi="Times New Roman"/>
          <w:i/>
          <w:sz w:val="24"/>
          <w:lang w:val="ru-RU"/>
        </w:rPr>
        <w:t xml:space="preserve"> «Современное газовое право».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</w:r>
    </w:p>
    <w:p>
      <w:pPr>
        <w:pStyle w:val="770"/>
        <w:numPr>
          <w:ilvl w:val="1"/>
          <w:numId w:val="1"/>
        </w:numPr>
        <w:ind w:left="0" w:right="-1" w:firstLine="728"/>
        <w:jc w:val="both"/>
        <w:spacing w:after="0" w:line="240" w:lineRule="auto"/>
        <w:tabs>
          <w:tab w:val="left" w:pos="1418" w:leader="none"/>
          <w:tab w:val="left" w:pos="1560" w:leader="none"/>
          <w:tab w:val="left" w:pos="9639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Конечными результатами обучения по дисциплине являются сформированные </w:t>
      </w:r>
      <w:r>
        <w:rPr>
          <w:rFonts w:ascii="Times New Roman" w:hAnsi="Times New Roman"/>
          <w:sz w:val="24"/>
          <w:lang w:val="ru-RU"/>
        </w:rPr>
        <w:t xml:space="preserve">знания</w:t>
      </w:r>
      <w:r>
        <w:rPr>
          <w:rFonts w:hint="default" w:ascii="Times New Roman" w:hAnsi="Times New Roman"/>
          <w:sz w:val="24"/>
          <w:lang w:val="ru-RU"/>
        </w:rPr>
        <w:t xml:space="preserve">, умения, навыки. </w:t>
      </w:r>
      <w:r>
        <w:rPr>
          <w:rFonts w:ascii="Times New Roman" w:hAnsi="Times New Roman"/>
          <w:sz w:val="24"/>
        </w:rPr>
        <w:t xml:space="preserve">Планируемые результаты обучения по дисциплине, характеризующие этапы формирования компетенции, представлены в табл. 1.2.1.: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Таблица – 1.2.1. Планируемые результаты обучения по дисциплине</w:t>
      </w:r>
      <w:r>
        <w:rPr>
          <w:rFonts w:ascii="Times New Roman" w:hAnsi="Times New Roman"/>
          <w:sz w:val="28"/>
        </w:rPr>
      </w:r>
    </w:p>
    <w:tbl>
      <w:tblPr>
        <w:tblStyle w:val="7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5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Планируемые результаты обучения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vAlign w:val="center"/>
            <w:textDirection w:val="lrTb"/>
            <w:noWrap w:val="false"/>
          </w:tcPr>
          <w:p>
            <w:pPr>
              <w:pStyle w:val="741"/>
              <w:ind w:left="0" w:firstLine="0"/>
              <w:jc w:val="left"/>
              <w:widowControl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Знать: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pStyle w:val="741"/>
              <w:ind w:firstLine="706"/>
              <w:widowControl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/>
                <w:sz w:val="28"/>
                <w:szCs w:val="28"/>
                <w:highlight w:val="white"/>
                <w:lang w:val="ru-RU"/>
              </w:rPr>
              <w:t xml:space="preserve">- </w:t>
            </w:r>
            <w:r>
              <w:rPr>
                <w:rFonts w:hint="default"/>
                <w:sz w:val="28"/>
                <w:szCs w:val="28"/>
                <w:highlight w:val="white"/>
              </w:rPr>
              <w:t xml:space="preserve">специальную терминологию и юридические особенности представления результатов научной деятельности в профессиональной области </w:t>
            </w:r>
            <w:r>
              <w:rPr>
                <w:rFonts w:hint="default"/>
                <w:sz w:val="28"/>
                <w:szCs w:val="28"/>
                <w:highlight w:val="white"/>
                <w:lang w:val="ru-RU"/>
              </w:rPr>
              <w:t xml:space="preserve">международного коммерческого арбитража</w:t>
            </w:r>
            <w:r>
              <w:rPr>
                <w:rFonts w:hint="default"/>
                <w:sz w:val="28"/>
                <w:szCs w:val="28"/>
                <w:highlight w:val="white"/>
              </w:rPr>
              <w:t xml:space="preserve"> в том числе с использованием новейших информационно-коммуникационных технологий</w:t>
            </w:r>
            <w:r>
              <w:rPr>
                <w:rFonts w:hint="default"/>
                <w:sz w:val="28"/>
                <w:szCs w:val="28"/>
                <w:highlight w:val="white"/>
                <w:lang w:val="ru-RU"/>
              </w:rPr>
              <w:t xml:space="preserve"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textDirection w:val="lrTb"/>
            <w:noWrap w:val="false"/>
          </w:tcPr>
          <w:p>
            <w:pPr>
              <w:pStyle w:val="741"/>
              <w:ind w:left="0" w:firstLine="0"/>
              <w:jc w:val="left"/>
              <w:widowControl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Уметь: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pStyle w:val="741"/>
              <w:ind w:firstLine="706"/>
              <w:widowControl/>
              <w:rPr>
                <w:rFonts w:hint="default"/>
                <w:sz w:val="28"/>
                <w:szCs w:val="28"/>
                <w:highlight w:val="whit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ru-RU"/>
              </w:rPr>
              <w:t xml:space="preserve">- </w:t>
            </w:r>
            <w:r>
              <w:rPr>
                <w:sz w:val="28"/>
                <w:szCs w:val="28"/>
                <w:highlight w:val="white"/>
              </w:rPr>
              <w:t xml:space="preserve">вести научную дискуссию; анализировать и обобщать материалы правоприменительной практики, статистические и эмпирические данные в области атомного  права</w:t>
            </w:r>
            <w:r>
              <w:rPr>
                <w:rFonts w:hint="default"/>
                <w:sz w:val="28"/>
                <w:szCs w:val="28"/>
                <w:highlight w:val="white"/>
                <w:lang w:val="ru-RU"/>
              </w:rPr>
              <w:t xml:space="preserve">;</w:t>
            </w:r>
            <w:r>
              <w:rPr>
                <w:rFonts w:hint="default"/>
                <w:sz w:val="28"/>
                <w:szCs w:val="28"/>
                <w:highlight w:val="white"/>
                <w:lang w:val="ru-RU"/>
              </w:rPr>
            </w:r>
          </w:p>
          <w:p>
            <w:pPr>
              <w:pStyle w:val="741"/>
              <w:ind w:firstLine="706"/>
              <w:widowControl/>
              <w:rPr>
                <w:rFonts w:hint="default"/>
                <w:sz w:val="28"/>
                <w:szCs w:val="28"/>
                <w:highlight w:val="white"/>
                <w:lang w:val="ru-RU"/>
              </w:rPr>
            </w:pPr>
            <w:r>
              <w:rPr>
                <w:rFonts w:hint="default"/>
                <w:sz w:val="28"/>
                <w:szCs w:val="28"/>
                <w:highlight w:val="white"/>
                <w:lang w:val="ru-RU"/>
              </w:rPr>
              <w:t xml:space="preserve">- </w:t>
            </w:r>
            <w:r>
              <w:rPr>
                <w:sz w:val="28"/>
                <w:szCs w:val="28"/>
                <w:highlight w:val="white"/>
              </w:rPr>
              <w:t xml:space="preserve">грамотно обосновывать и выра</w:t>
            </w:r>
            <w:r>
              <w:rPr>
                <w:sz w:val="28"/>
                <w:szCs w:val="28"/>
                <w:highlight w:val="white"/>
              </w:rPr>
              <w:t xml:space="preserve">жать собственное мнение по сравнительно-правовой научной проблематике, выбирать и правильно применять необходимые методы сравнительно- правового исследования, разрабатывать новые методы, исходя из специфики конкретного исследования вопросов газового  права</w:t>
            </w:r>
            <w:r>
              <w:rPr>
                <w:rFonts w:hint="default"/>
                <w:sz w:val="28"/>
                <w:szCs w:val="28"/>
                <w:highlight w:val="white"/>
                <w:lang w:val="ru-RU"/>
              </w:rPr>
              <w:t xml:space="preserve">;</w:t>
            </w:r>
            <w:r>
              <w:rPr>
                <w:rFonts w:hint="default"/>
                <w:sz w:val="28"/>
                <w:szCs w:val="28"/>
                <w:highlight w:val="white"/>
                <w:lang w:val="ru-RU"/>
              </w:rPr>
            </w:r>
          </w:p>
          <w:p>
            <w:pPr>
              <w:pStyle w:val="741"/>
              <w:ind w:firstLine="706"/>
              <w:widowControl/>
              <w:rPr>
                <w:rFonts w:hint="default"/>
                <w:sz w:val="28"/>
                <w:szCs w:val="28"/>
                <w:highlight w:val="white"/>
                <w:lang w:val="ru-RU"/>
              </w:rPr>
            </w:pPr>
            <w:r>
              <w:rPr>
                <w:sz w:val="28"/>
                <w:szCs w:val="28"/>
                <w:highlight w:val="white"/>
              </w:rPr>
              <w:t xml:space="preserve">осуществлять поиск, толкование и применение нормативных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</w:t>
            </w:r>
            <w:r>
              <w:rPr>
                <w:rFonts w:hint="default"/>
                <w:sz w:val="28"/>
                <w:szCs w:val="28"/>
                <w:highlight w:val="white"/>
                <w:lang w:val="ru-RU"/>
              </w:rPr>
              <w:t xml:space="preserve">;</w:t>
            </w:r>
            <w:r>
              <w:rPr>
                <w:rFonts w:hint="default"/>
                <w:sz w:val="28"/>
                <w:szCs w:val="28"/>
                <w:highlight w:val="white"/>
                <w:lang w:val="ru-RU"/>
              </w:rPr>
            </w:r>
          </w:p>
          <w:p>
            <w:pPr>
              <w:pStyle w:val="741"/>
              <w:ind w:firstLine="706"/>
              <w:widowControl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/>
                <w:sz w:val="28"/>
                <w:szCs w:val="28"/>
                <w:highlight w:val="white"/>
                <w:lang w:val="ru-RU"/>
              </w:rPr>
              <w:t xml:space="preserve">- </w:t>
            </w:r>
            <w:r>
              <w:rPr>
                <w:sz w:val="28"/>
                <w:szCs w:val="28"/>
                <w:highlight w:val="white"/>
              </w:rPr>
              <w:t xml:space="preserve">определять содержание, направленность и методику поиска в концепции и в исследовательском проекте, мотивируя работу исследовательского коллектива в области газового  права</w:t>
            </w:r>
            <w:r>
              <w:rPr>
                <w:rFonts w:hint="default"/>
                <w:sz w:val="28"/>
                <w:szCs w:val="28"/>
                <w:highlight w:val="white"/>
                <w:lang w:val="ru-RU"/>
              </w:rPr>
              <w:t xml:space="preserve"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3" w:type="dxa"/>
            <w:textDirection w:val="lrTb"/>
            <w:noWrap w:val="false"/>
          </w:tcPr>
          <w:p>
            <w:pPr>
              <w:pStyle w:val="741"/>
              <w:ind w:left="0" w:firstLine="0"/>
              <w:jc w:val="left"/>
              <w:widowControl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Владеть: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ind w:left="0" w:firstLine="709"/>
              <w:jc w:val="both"/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 xml:space="preserve">-приемами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задач;</w:t>
            </w:r>
            <w:r>
              <w:rPr>
                <w:rFonts w:hint="default" w:ascii="Times New Roman" w:hAnsi="Times New Roman"/>
                <w:sz w:val="24"/>
                <w:lang w:val="ru-RU"/>
              </w:rPr>
            </w:r>
          </w:p>
          <w:p>
            <w:pPr>
              <w:ind w:left="0" w:firstLine="709"/>
              <w:jc w:val="both"/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 xml:space="preserve">- методами и приемами проведения научных исследований в области газового права;</w:t>
            </w:r>
            <w:r>
              <w:rPr>
                <w:rFonts w:hint="default" w:ascii="Times New Roman" w:hAnsi="Times New Roman"/>
                <w:sz w:val="24"/>
                <w:lang w:val="ru-RU"/>
              </w:rPr>
            </w:r>
          </w:p>
          <w:p>
            <w:pPr>
              <w:ind w:left="0" w:firstLine="709"/>
              <w:jc w:val="both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 xml:space="preserve">- методами и технологиями коммуникации, анализа и оценки современных научных достижений в области современного газового права, в том числе на иностранном языке..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</w:tbl>
    <w:p>
      <w:pPr>
        <w:pStyle w:val="770"/>
        <w:ind w:left="728" w:right="-1" w:firstLine="0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  <w:outlineLvl w:val="0"/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0"/>
        <w:ind w:left="0" w:right="-1" w:firstLine="0"/>
        <w:jc w:val="both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sz w:val="24"/>
        </w:rPr>
        <w:outlineLvl w:val="0"/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0"/>
        <w:numPr>
          <w:ilvl w:val="0"/>
          <w:numId w:val="1"/>
        </w:numPr>
        <w:ind w:left="0" w:right="-1" w:firstLine="0"/>
        <w:jc w:val="center"/>
        <w:spacing w:after="0" w:line="240" w:lineRule="auto"/>
        <w:tabs>
          <w:tab w:val="left" w:pos="0" w:leader="none"/>
          <w:tab w:val="left" w:pos="284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3" w:name="_Toc32765"/>
      <w:r>
        <w:rPr>
          <w:rFonts w:ascii="Times New Roman" w:hAnsi="Times New Roman"/>
          <w:b/>
          <w:sz w:val="24"/>
        </w:rPr>
        <w:t xml:space="preserve">Структура ФОС по дисциплине</w:t>
      </w:r>
      <w:bookmarkEnd w:id="3"/>
      <w:r/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Проведение оценки осуществляется путем сопоставления продемонстрированных обучающимся результатов освоения</w:t>
      </w:r>
      <w:r>
        <w:rPr>
          <w:rFonts w:hint="default" w:ascii="Times New Roman" w:hAnsi="Times New Roman"/>
          <w:sz w:val="24"/>
          <w:lang w:val="ru-RU"/>
        </w:rPr>
        <w:t xml:space="preserve"> дисциплины </w:t>
      </w:r>
      <w:r>
        <w:rPr>
          <w:rFonts w:ascii="Times New Roman" w:hAnsi="Times New Roman"/>
          <w:sz w:val="24"/>
        </w:rPr>
        <w:t xml:space="preserve">с заданными критериями.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положительного заключения по результатам оценочной процедуры по учебной дисциплине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2.1. Объекты оценивания и наименование оценочных средств</w:t>
      </w:r>
      <w:r>
        <w:rPr>
          <w:rFonts w:ascii="Times New Roman" w:hAnsi="Times New Roman"/>
          <w:sz w:val="24"/>
        </w:rPr>
      </w:r>
    </w:p>
    <w:tbl>
      <w:tblPr>
        <w:tblStyle w:val="712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19"/>
        <w:gridCol w:w="1719"/>
        <w:gridCol w:w="2438"/>
        <w:gridCol w:w="1560"/>
        <w:gridCol w:w="13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09"/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и наименование тем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vAlign w:val="center"/>
            <w:textDirection w:val="lrTb"/>
            <w:noWrap w:val="false"/>
          </w:tcPr>
          <w:p>
            <w:pPr>
              <w:pStyle w:val="779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Формы текущего</w:t>
            </w:r>
            <w:r>
              <w:rPr>
                <w:sz w:val="22"/>
              </w:rPr>
            </w:r>
          </w:p>
          <w:p>
            <w:pPr>
              <w:pStyle w:val="825"/>
              <w:spacing w:line="240" w:lineRule="auto"/>
              <w:rPr>
                <w:sz w:val="22"/>
              </w:rPr>
            </w:pPr>
            <w:r>
              <w:rPr>
                <w:rStyle w:val="810"/>
                <w:i w:val="0"/>
                <w:sz w:val="22"/>
              </w:rPr>
              <w:t xml:space="preserve">контроля успеваемости</w:t>
            </w:r>
            <w:r>
              <w:rPr>
                <w:sz w:val="22"/>
              </w:rPr>
            </w:r>
          </w:p>
          <w:p>
            <w:pPr>
              <w:pStyle w:val="779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Формы промежуточной аттестации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vAlign w:val="center"/>
            <w:textDirection w:val="lrTb"/>
            <w:noWrap w:val="false"/>
          </w:tcPr>
          <w:p>
            <w:pPr>
              <w:pStyle w:val="779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Объекты оценивания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779"/>
              <w:jc w:val="center"/>
              <w:spacing w:line="240" w:lineRule="auto"/>
              <w:rPr>
                <w:sz w:val="22"/>
              </w:rPr>
            </w:pPr>
            <w:r>
              <w:rPr>
                <w:rStyle w:val="782"/>
                <w:sz w:val="22"/>
              </w:rPr>
              <w:t xml:space="preserve">Вид занятия / Наименование оценочных средств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79"/>
              <w:jc w:val="center"/>
              <w:spacing w:line="240" w:lineRule="auto"/>
              <w:rPr>
                <w:rStyle w:val="782"/>
                <w:sz w:val="22"/>
              </w:rPr>
            </w:pPr>
            <w:r>
              <w:rPr>
                <w:rStyle w:val="782"/>
                <w:sz w:val="22"/>
              </w:rPr>
              <w:t xml:space="preserve">Форма проведения оценки</w:t>
            </w:r>
            <w:r>
              <w:rPr>
                <w:rStyle w:val="782"/>
                <w:sz w:val="22"/>
              </w:rPr>
            </w:r>
          </w:p>
          <w:p>
            <w:pPr>
              <w:pStyle w:val="779"/>
              <w:jc w:val="center"/>
              <w:spacing w:line="240" w:lineRule="auto"/>
              <w:rPr>
                <w:rStyle w:val="782"/>
                <w:sz w:val="22"/>
              </w:rPr>
            </w:pPr>
            <w:r>
              <w:rPr>
                <w:sz w:val="22"/>
              </w:rPr>
            </w:r>
            <w:r>
              <w:rPr>
                <w:rStyle w:val="782"/>
                <w:sz w:val="22"/>
              </w:rPr>
            </w:r>
          </w:p>
          <w:p>
            <w:pPr>
              <w:pStyle w:val="779"/>
              <w:jc w:val="center"/>
              <w:spacing w:line="240" w:lineRule="auto"/>
              <w:rPr>
                <w:rStyle w:val="782"/>
                <w:sz w:val="22"/>
              </w:rPr>
            </w:pPr>
            <w:r>
              <w:rPr>
                <w:rStyle w:val="782"/>
                <w:sz w:val="22"/>
              </w:rPr>
              <w:t xml:space="preserve">Устная/письменная</w:t>
            </w:r>
            <w:r>
              <w:rPr>
                <w:rStyle w:val="782"/>
                <w:sz w:val="22"/>
              </w:rPr>
            </w:r>
          </w:p>
          <w:p>
            <w:pPr>
              <w:pStyle w:val="779"/>
              <w:jc w:val="center"/>
              <w:spacing w:line="240" w:lineRule="auto"/>
              <w:rPr>
                <w:rStyle w:val="782"/>
                <w:sz w:val="22"/>
              </w:rPr>
            </w:pPr>
            <w:r>
              <w:rPr>
                <w:sz w:val="22"/>
              </w:rPr>
            </w:r>
            <w:r>
              <w:rPr>
                <w:rStyle w:val="782"/>
                <w:sz w:val="22"/>
              </w:rPr>
            </w:r>
          </w:p>
          <w:p>
            <w:pPr>
              <w:pStyle w:val="779"/>
              <w:jc w:val="center"/>
              <w:spacing w:line="240" w:lineRule="auto"/>
              <w:rPr>
                <w:rStyle w:val="782"/>
                <w:sz w:val="22"/>
              </w:rPr>
            </w:pPr>
            <w:r>
              <w:rPr>
                <w:sz w:val="22"/>
              </w:rPr>
            </w:r>
            <w:r>
              <w:rPr>
                <w:rStyle w:val="782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5"/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pStyle w:val="779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779"/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779"/>
              <w:jc w:val="center"/>
              <w:spacing w:line="240" w:lineRule="auto"/>
              <w:rPr>
                <w:rStyle w:val="782"/>
                <w:sz w:val="22"/>
              </w:rPr>
            </w:pPr>
            <w:r>
              <w:rPr>
                <w:rStyle w:val="782"/>
                <w:sz w:val="22"/>
              </w:rPr>
              <w:t xml:space="preserve">4</w:t>
            </w:r>
            <w:r>
              <w:rPr>
                <w:rStyle w:val="782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779"/>
              <w:jc w:val="center"/>
              <w:spacing w:line="240" w:lineRule="auto"/>
              <w:rPr>
                <w:rStyle w:val="782"/>
                <w:sz w:val="22"/>
              </w:rPr>
            </w:pPr>
            <w:r>
              <w:rPr>
                <w:rStyle w:val="782"/>
                <w:sz w:val="22"/>
              </w:rPr>
              <w:t xml:space="preserve">5</w:t>
            </w:r>
            <w:r>
              <w:rPr>
                <w:rStyle w:val="782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Тема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1.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tabs>
                <w:tab w:val="left" w:pos="709" w:leader="none"/>
                <w:tab w:val="left" w:pos="851" w:leader="none"/>
              </w:tabs>
              <w:rPr>
                <w:rStyle w:val="818"/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818"/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</w:t>
            </w:r>
            <w:r>
              <w:rPr>
                <w:rStyle w:val="818"/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онятие и источники газового права.</w:t>
            </w:r>
            <w:r>
              <w:rPr>
                <w:rStyle w:val="818"/>
                <w:rFonts w:hint="default"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контроль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textDirection w:val="lrTb"/>
            <w:noWrap w:val="false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Понятие газового права. Источники газового права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Законодательные акты. Подзаконные нормативные правовые акты. Международные договоры.</w:t>
            </w:r>
            <w:r>
              <w:rPr>
                <w:rFonts w:hint="default" w:ascii="Times New Roman" w:hAnsi="Times New Roman" w:cs="Times New Roman"/>
                <w:bCs/>
                <w:color w:val="000000" w:themeColor="dark1"/>
                <w:sz w:val="24"/>
                <w:szCs w:val="24"/>
                <w14:textFill>
                  <w14:solidFill>
                    <w14:schemeClr w14:val="dk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Обычаи. Акты высших судебных инстанций. Локальные акты компаний.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ЗЛТ: дискуссия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устная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Тема 2.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Объекты и газового права. Особенности договорного регулирования. Особенности порядка разрешения споров.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.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контроль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Правовой режим газа как объекта отношений по добыче, поставке, тран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спортировке, хранению. Правовой режим газа как объекта внешнеэкономических сделок. Классификация газовых объектов. Правовой режим объектов газовой отрасли. Правовое положение газовых компаний. Особенности договорного регулирования. Классификации договоров.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ЗЛТ: дискуссия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устная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3.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r>
          </w:p>
          <w:p>
            <w:pPr>
              <w:jc w:val="both"/>
              <w:tabs>
                <w:tab w:val="left" w:pos="709" w:leader="none"/>
                <w:tab w:val="left" w:pos="851" w:leader="none"/>
              </w:tabs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Общая характеристика правового регулирования публично-правовых отношений. Ответственность за нарушение требований газового законодательства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контроль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Цели, задачи, направления государственного регулирования и контроля в сфере газоснабжения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Государственное регулирование и контроль экспорта газа. Полномочия государственных органов. Ответственность за нарушение газового законодательства.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ЗЛТ: дискуссия</w:t>
            </w:r>
            <w:r>
              <w:rPr>
                <w:rFonts w:ascii="Times New Roman" w:hAnsi="Times New Roman"/>
              </w:rPr>
            </w:r>
          </w:p>
          <w:p>
            <w:pPr>
              <w:ind w:left="0" w:right="0" w:firstLine="0"/>
              <w:spacing w:after="0" w:line="240" w:lineRule="auto"/>
              <w:rPr>
                <w:rFonts w:ascii="Times New Roman" w:hAnsi="Times New Roman" w:eastAsiaTheme="minorEastAsia" w:cstheme="minorBid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  <w:r>
              <w:rPr>
                <w:rFonts w:ascii="Times New Roman" w:hAnsi="Times New Roman" w:eastAsiaTheme="minorEastAsia" w:cstheme="minorBidi"/>
                <w:color w:val="000000"/>
                <w:spacing w:val="0"/>
                <w:sz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eastAsiaTheme="minorEastAsia" w:cstheme="minorBid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</w:rPr>
              <w:t xml:space="preserve">устная</w:t>
            </w:r>
            <w:r>
              <w:rPr>
                <w:rFonts w:ascii="Times New Roman" w:hAnsi="Times New Roman" w:eastAsiaTheme="minorEastAsia" w:cstheme="minorBidi"/>
                <w:color w:val="000000"/>
                <w:spacing w:val="0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темы и разделы: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ind w:left="-57" w:right="-57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Промежуточная аттестация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Обобщенные результаты обучения по дисциплине теоретических знаний и практических навыков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/>
            <w:bookmarkStart w:id="12" w:name="_GoBack"/>
            <w:r/>
            <w:bookmarkEnd w:id="12"/>
            <w:r>
              <w:rPr>
                <w:rFonts w:ascii="Times New Roman" w:hAnsi="Times New Roman"/>
              </w:rPr>
              <w:t xml:space="preserve">Вопросы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письменная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120" w:right="280" w:firstLine="708"/>
        <w:spacing w:after="0" w:line="240" w:lineRule="auto"/>
        <w:rPr>
          <w:rFonts w:ascii="Times New Roman" w:hAnsi="Times New Roman"/>
          <w:b/>
          <w:sz w:val="24"/>
        </w:rPr>
      </w:pPr>
      <w:r/>
      <w:bookmarkStart w:id="4" w:name="page8"/>
      <w:r/>
      <w:bookmarkEnd w:id="4"/>
      <w:r/>
      <w:r>
        <w:rPr>
          <w:rFonts w:ascii="Times New Roman" w:hAnsi="Times New Roman"/>
          <w:b/>
          <w:sz w:val="24"/>
        </w:rPr>
      </w:r>
    </w:p>
    <w:p>
      <w:pPr>
        <w:pStyle w:val="770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5" w:name="_Toc21520"/>
      <w:r>
        <w:rPr>
          <w:rFonts w:ascii="Times New Roman" w:hAnsi="Times New Roman"/>
          <w:b/>
          <w:sz w:val="24"/>
        </w:rPr>
        <w:t xml:space="preserve">Показатели и критерии оценки</w:t>
      </w:r>
      <w:bookmarkEnd w:id="5"/>
      <w:r/>
      <w:r>
        <w:rPr>
          <w:rFonts w:ascii="Times New Roman" w:hAnsi="Times New Roman"/>
          <w:b/>
          <w:sz w:val="24"/>
        </w:rPr>
      </w:r>
    </w:p>
    <w:p>
      <w:pPr>
        <w:pStyle w:val="770"/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0"/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Оценка знаний, умений, владений может быть выражена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параметрах </w:t>
      </w:r>
      <w:r>
        <w:rPr>
          <w:rFonts w:ascii="Times New Roman" w:hAnsi="Times New Roman"/>
          <w:i/>
          <w:sz w:val="24"/>
        </w:rPr>
        <w:t xml:space="preserve">«очень высокая», «высокая»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«отлично»;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«достаточно высокая», «выше средней»,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«хорошо»</w:t>
      </w:r>
      <w:r>
        <w:rPr>
          <w:rFonts w:ascii="Times New Roman" w:hAnsi="Times New Roman"/>
          <w:sz w:val="24"/>
        </w:rPr>
        <w:t xml:space="preserve">; «</w:t>
      </w:r>
      <w:r>
        <w:rPr>
          <w:rFonts w:ascii="Times New Roman" w:hAnsi="Times New Roman"/>
          <w:i/>
          <w:sz w:val="24"/>
        </w:rPr>
        <w:t xml:space="preserve">средняя», «ниже средней», «низкая»,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«удовлетворительно»;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«очень низкая», «примитивная»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 xml:space="preserve">«неудовлетворительно».</w:t>
      </w:r>
      <w:r>
        <w:rPr>
          <w:rFonts w:ascii="Times New Roman" w:hAnsi="Times New Roman"/>
          <w:i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3.1. Текущий контроль</w:t>
      </w:r>
      <w:r>
        <w:rPr>
          <w:rFonts w:ascii="Times New Roman" w:hAnsi="Times New Roman"/>
          <w:sz w:val="24"/>
        </w:rPr>
      </w:r>
    </w:p>
    <w:tbl>
      <w:tblPr>
        <w:tblStyle w:val="7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7"/>
        <w:gridCol w:w="1939"/>
        <w:gridCol w:w="1843"/>
        <w:gridCol w:w="1843"/>
        <w:gridCol w:w="1843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№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Виды работ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Критерии оценивания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Отсутству</w:t>
            </w:r>
            <w:r>
              <w:rPr>
                <w:rFonts w:ascii="Times New Roman" w:hAnsi="Times New Roman"/>
                <w:b/>
                <w:lang w:val="ru-RU"/>
              </w:rPr>
              <w:t xml:space="preserve">ют</w:t>
            </w:r>
            <w:r>
              <w:rPr>
                <w:rFonts w:hint="default" w:ascii="Times New Roman" w:hAnsi="Times New Roman"/>
                <w:b/>
                <w:lang w:val="ru-RU"/>
              </w:rPr>
              <w:t xml:space="preserve"> знания, умения, навыки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Базовый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дисциплины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Повышенный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дисциплины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 xml:space="preserve">дисциплины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лекциях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Отсутствие участия обучающегося в работе на занятии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Единичное высказывание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работе на занятии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работе на занятии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практических/семинарских занятиях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менее 54%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выше 54% до 69 %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от 70% до 84 %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Выполнено выше 85%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практических занятиях, решение общих практических задач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Отсутствие участия в обсуждении, решении, неправильное решение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Единичное высказывание, решение с ошибками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ходе решения, правильное решение с отдельными замечаниями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ходе решения, правильное решение без ошибок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Работа на практических занятиях, решение индивидуальных практических задач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Отсутствие участия в обсуждении, решении, неправильное решение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Единичное высказывание, решение с ошибками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суждений, активное участие в ходе решения, правильное решение с отдельными замечаниями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суждений, активное участие в ходе решения, правильное решение без ошибок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770"/>
        <w:ind w:left="0" w:firstLine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0"/>
        <w:ind w:left="0" w:firstLine="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3.2. Обобщенные критерии оценивания результатов обучения</w:t>
      </w:r>
      <w:r>
        <w:rPr>
          <w:rFonts w:ascii="Times New Roman" w:hAnsi="Times New Roman"/>
          <w:sz w:val="24"/>
        </w:rPr>
      </w:r>
    </w:p>
    <w:tbl>
      <w:tblPr>
        <w:tblStyle w:val="7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43"/>
        <w:gridCol w:w="1842"/>
        <w:gridCol w:w="2127"/>
        <w:gridCol w:w="1701"/>
        <w:gridCol w:w="23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</w:t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Отсутству</w:t>
            </w:r>
            <w:r>
              <w:rPr>
                <w:rFonts w:ascii="Times New Roman" w:hAnsi="Times New Roman"/>
                <w:lang w:val="ru-RU"/>
              </w:rPr>
              <w:t xml:space="preserve"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 xml:space="preserve"> знани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умени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владени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Отсутству</w:t>
            </w:r>
            <w:r>
              <w:rPr>
                <w:rFonts w:ascii="Times New Roman" w:hAnsi="Times New Roman"/>
                <w:lang w:val="ru-RU"/>
              </w:rPr>
              <w:t xml:space="preserve"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 xml:space="preserve">знани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умени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  <w:sz w:val="24"/>
              </w:rPr>
              <w:t xml:space="preserve">, владени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 xml:space="preserve">дисциплины</w:t>
            </w:r>
            <w:r>
              <w:rPr>
                <w:rFonts w:hint="default" w:ascii="Times New Roman" w:hAnsi="Times New Roman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 </w:t>
            </w:r>
            <w:r>
              <w:rPr>
                <w:rFonts w:ascii="Times New Roman" w:hAnsi="Times New Roman"/>
              </w:rPr>
              <w:t xml:space="preserve">Обучающийся не владеет необходимыми знаниями.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</w:t>
            </w:r>
            <w:r>
              <w:rPr>
                <w:rFonts w:hint="default" w:ascii="Times New Roman" w:hAnsi="Times New Roman"/>
                <w:lang w:val="ru-RU"/>
              </w:rPr>
            </w:r>
          </w:p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Обучающийся частично показывает знания,понимает их необходимость, но не может их применять.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Обучающийся показывает общие знания, имеет представление об их применении, умение извлекать и использовать основную (важную) информацию из полученных знаний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. Обучающийся  показывает полноту знаний, демонстрирует умения и навыки решения типовых задач.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Обучающийся показывает глубокие знания,</w:t>
            </w:r>
            <w:r>
              <w:rPr>
                <w:rFonts w:ascii="Times New Roman" w:hAnsi="Times New Roman"/>
              </w:rPr>
              <w:t xml:space="preserve"> демонстрирует умения и навыки решения сложных задач, умение принимать решения, создавать и применять документы, связанные с профессиональной деятельностью;  способен самостоятельно решать проблему/задачу на основе изученных методов, приемов и технологий. 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0" w:firstLine="708"/>
        <w:jc w:val="both"/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>
        <w:rPr>
          <w:rFonts w:ascii="Times New Roman" w:hAnsi="Times New Roman"/>
          <w:i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Базовый уровень 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обязательный для всех обучающихся по завершении освоения дисциплины. </w:t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Повышенный уровень 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ascii="Times New Roman" w:hAnsi="Times New Roman"/>
          <w:sz w:val="24"/>
        </w:rPr>
        <w:t xml:space="preserve"> - превышение минимальных характеристик сформированности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ascii="Times New Roman" w:hAnsi="Times New Roman"/>
          <w:sz w:val="24"/>
        </w:rPr>
        <w:t xml:space="preserve"> для обучающегося. </w:t>
      </w:r>
      <w:r>
        <w:rPr>
          <w:rFonts w:ascii="Times New Roman" w:hAnsi="Times New Roman"/>
          <w:sz w:val="24"/>
        </w:rPr>
      </w:r>
    </w:p>
    <w:p>
      <w:pPr>
        <w:ind w:left="0" w:firstLine="708"/>
        <w:jc w:val="both"/>
        <w:spacing w:after="0" w:line="240" w:lineRule="auto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i/>
          <w:sz w:val="24"/>
        </w:rPr>
        <w:t xml:space="preserve">Продвинутый 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освоения </w:t>
      </w:r>
      <w:r>
        <w:rPr>
          <w:rFonts w:ascii="Times New Roman" w:hAnsi="Times New Roman"/>
          <w:i/>
          <w:sz w:val="24"/>
          <w:lang w:val="ru-RU"/>
        </w:rPr>
        <w:t xml:space="preserve"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максимально возможная выраженность</w:t>
      </w:r>
      <w:r>
        <w:rPr>
          <w:rFonts w:hint="default" w:ascii="Times New Roman" w:hAnsi="Times New Roman"/>
          <w:sz w:val="24"/>
          <w:lang w:val="ru-RU"/>
        </w:rPr>
        <w:t xml:space="preserve"> знаний, умения и навыков по </w:t>
      </w:r>
      <w:r>
        <w:rPr>
          <w:rFonts w:ascii="Times New Roman" w:hAnsi="Times New Roman"/>
          <w:sz w:val="24"/>
          <w:lang w:val="ru-RU"/>
        </w:rPr>
        <w:t xml:space="preserve">дисциплине</w:t>
      </w:r>
      <w:r>
        <w:rPr>
          <w:rFonts w:hint="default" w:ascii="Times New Roman" w:hAnsi="Times New Roman"/>
          <w:sz w:val="24"/>
          <w:lang w:val="ru-RU"/>
        </w:rPr>
        <w:t xml:space="preserve">.</w:t>
      </w:r>
      <w:r>
        <w:rPr>
          <w:rFonts w:hint="default" w:ascii="Times New Roman" w:hAnsi="Times New Roman"/>
          <w:sz w:val="24"/>
          <w:lang w:val="ru-RU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активное участие в конференциях, конкурсах, круглых столах и т.д. с получением зафиксированного положительного результата по вопросам, включенным в дисциплину;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разработка и реализация проектов с применением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ascii="Times New Roman" w:hAnsi="Times New Roman"/>
          <w:sz w:val="24"/>
        </w:rPr>
        <w:t xml:space="preserve">, указанных в рабочей программе;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демонстрирует умение применять теоретические знания для решения практических задач повышенной сложности и нестандартных задач;</w:t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выполнение в срок всех поставленных задач.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70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/>
          <w:b/>
          <w:sz w:val="24"/>
        </w:rPr>
        <w:outlineLvl w:val="0"/>
      </w:pPr>
      <w:r/>
      <w:bookmarkStart w:id="6" w:name="_Toc24677"/>
      <w:r>
        <w:rPr>
          <w:rFonts w:ascii="Times New Roman" w:hAnsi="Times New Roman"/>
          <w:b/>
          <w:sz w:val="24"/>
        </w:rPr>
        <w:t xml:space="preserve">Шкала оценивания результата</w:t>
      </w:r>
      <w:bookmarkEnd w:id="6"/>
      <w:r/>
      <w:r>
        <w:rPr>
          <w:rFonts w:ascii="Times New Roman" w:hAnsi="Times New Roman"/>
          <w:b/>
          <w:sz w:val="24"/>
        </w:rPr>
      </w:r>
    </w:p>
    <w:p>
      <w:pPr>
        <w:ind w:left="1088" w:firstLine="0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both"/>
        <w:spacing w:after="0" w:line="240" w:lineRule="auto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Таблица – 4.1.  Шкала критериев оценивания </w:t>
      </w:r>
      <w:r>
        <w:rPr>
          <w:rFonts w:ascii="Times New Roman" w:hAnsi="Times New Roman"/>
          <w:sz w:val="24"/>
          <w:lang w:val="ru-RU"/>
        </w:rPr>
        <w:t xml:space="preserve">знаний</w:t>
      </w:r>
      <w:r>
        <w:rPr>
          <w:rFonts w:hint="default" w:ascii="Times New Roman" w:hAnsi="Times New Roman"/>
          <w:sz w:val="24"/>
          <w:lang w:val="ru-RU"/>
        </w:rPr>
        <w:t xml:space="preserve">, умений и навыков</w:t>
      </w:r>
      <w:r>
        <w:rPr>
          <w:rFonts w:hint="default" w:ascii="Times New Roman" w:hAnsi="Times New Roman"/>
          <w:sz w:val="24"/>
          <w:lang w:val="ru-RU"/>
        </w:rPr>
      </w:r>
    </w:p>
    <w:tbl>
      <w:tblPr>
        <w:tblStyle w:val="7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68"/>
        <w:gridCol w:w="68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Оценка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Содержание </w:t>
            </w: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2 – «неудовлетворительно»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непонимание проблемы. Многие требования, предъявляемые к заданию не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Демонстрируется первичное восприятие материала. Работа незакончена и /или это плагиат.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3 – «удовлетворительно»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4 – «хорошо»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значительное понимание проблемы обозначенной дисциплиной. Все требования, предъявляемые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Содержание выполненных заданий раскрыто и рассмотрено с разных точек зрения.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5 – «отлично»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полное понимание проблемы. Все требования, предъявляемые к заданию выполнены.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Продемонстрировано уверенное владение материалом дисциплины.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741"/>
        <w:ind w:left="0" w:firstLine="709"/>
        <w:spacing w:line="240" w:lineRule="auto"/>
        <w:widowControl/>
        <w:rPr>
          <w:rStyle w:val="782"/>
          <w:sz w:val="24"/>
        </w:rPr>
      </w:pPr>
      <w:r>
        <w:rPr>
          <w:rStyle w:val="782"/>
          <w:sz w:val="24"/>
        </w:rPr>
        <w:t xml:space="preserve">Шкалы оценивания и процедуры оценивания результатов обучения по дисциплине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высшего образования.</w:t>
      </w:r>
      <w:r>
        <w:rPr>
          <w:rStyle w:val="782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Формой итогового контроля по дисциплине является зачет, итоговый результат формируется в соответствии со шкалой, приведенной ниже в таблице: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tbl>
      <w:tblPr>
        <w:tblStyle w:val="7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4A0" w:firstRow="1" w:lastRow="0" w:firstColumn="1" w:lastColumn="0" w:noHBand="0" w:noVBand="1"/>
      </w:tblPr>
      <w:tblGrid>
        <w:gridCol w:w="1415"/>
        <w:gridCol w:w="3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1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Баллы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Оценка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&lt;2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Незачет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415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&gt;3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3640" w:type="dxa"/>
            <w:textDirection w:val="lrTb"/>
            <w:noWrap w:val="false"/>
          </w:tcPr>
          <w:p>
            <w:pPr>
              <w:ind w:left="0" w:firstLine="567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Зачет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0" w:firstLine="567"/>
        <w:jc w:val="both"/>
        <w:spacing w:after="0" w:line="240" w:lineRule="auto"/>
        <w:widowControl w:val="off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</w:r>
      <w:r>
        <w:rPr>
          <w:rFonts w:hint="default" w:ascii="Times New Roman" w:hAnsi="Times New Roman" w:cs="Times New Roman"/>
          <w:b/>
          <w:sz w:val="28"/>
          <w:szCs w:val="28"/>
        </w:rPr>
      </w:r>
    </w:p>
    <w:p>
      <w:pPr>
        <w:pStyle w:val="770"/>
        <w:numPr>
          <w:ilvl w:val="0"/>
          <w:numId w:val="1"/>
        </w:numPr>
        <w:ind w:left="0" w:right="-1" w:firstLine="728"/>
        <w:jc w:val="center"/>
        <w:spacing w:after="0" w:line="240" w:lineRule="auto"/>
        <w:tabs>
          <w:tab w:val="left" w:pos="993" w:leader="none"/>
        </w:tabs>
        <w:rPr>
          <w:rFonts w:hint="default" w:ascii="Times New Roman" w:hAnsi="Times New Roman" w:cs="Times New Roman"/>
          <w:sz w:val="24"/>
          <w:szCs w:val="24"/>
          <w:lang w:val="ru-RU"/>
        </w:rPr>
        <w:outlineLvl w:val="0"/>
      </w:pPr>
      <w:r/>
      <w:bookmarkStart w:id="7" w:name="_Toc9581"/>
      <w:r>
        <w:rPr>
          <w:rFonts w:hint="default" w:ascii="Times New Roman" w:hAnsi="Times New Roman" w:cs="Times New Roman"/>
          <w:b/>
          <w:sz w:val="24"/>
          <w:szCs w:val="24"/>
        </w:rPr>
        <w:t xml:space="preserve">Перечень заданий по дисциплине</w:t>
      </w:r>
      <w:bookmarkEnd w:id="7"/>
      <w:r/>
      <w:r>
        <w:rPr>
          <w:rFonts w:hint="default" w:ascii="Times New Roman" w:hAnsi="Times New Roman" w:cs="Times New Roman"/>
          <w:sz w:val="24"/>
          <w:szCs w:val="24"/>
          <w:lang w:val="ru-RU"/>
        </w:rPr>
      </w:r>
    </w:p>
    <w:p>
      <w:pPr>
        <w:pStyle w:val="770"/>
        <w:numPr>
          <w:ilvl w:val="0"/>
          <w:numId w:val="0"/>
        </w:numPr>
        <w:ind w:left="728" w:right="-1"/>
        <w:jc w:val="both"/>
        <w:spacing w:after="0" w:line="240" w:lineRule="auto"/>
        <w:tabs>
          <w:tab w:val="left" w:pos="993" w:leader="none"/>
        </w:tabs>
        <w:rPr>
          <w:rFonts w:hint="default" w:ascii="Times New Roman" w:hAnsi="Times New Roman" w:cs="Times New Roman"/>
          <w:sz w:val="24"/>
          <w:szCs w:val="24"/>
          <w:lang w:val="ru-RU"/>
        </w:rPr>
        <w:outlineLvl w:val="0"/>
      </w:pPr>
      <w:r>
        <w:rPr>
          <w:rFonts w:hint="default" w:ascii="Times New Roman" w:hAnsi="Times New Roman" w:cs="Times New Roman"/>
          <w:sz w:val="24"/>
          <w:szCs w:val="24"/>
          <w:lang w:val="ru-RU"/>
        </w:rPr>
      </w:r>
      <w:r>
        <w:rPr>
          <w:rFonts w:hint="default" w:ascii="Times New Roman" w:hAnsi="Times New Roman" w:cs="Times New Roman"/>
          <w:sz w:val="24"/>
          <w:szCs w:val="24"/>
          <w:lang w:val="ru-RU"/>
        </w:rPr>
      </w:r>
    </w:p>
    <w:p>
      <w:pPr>
        <w:numPr>
          <w:ilvl w:val="1"/>
          <w:numId w:val="1"/>
        </w:numPr>
        <w:ind w:left="1448" w:hanging="720"/>
        <w:jc w:val="both"/>
        <w:tabs>
          <w:tab w:val="left" w:pos="0" w:leader="none"/>
        </w:tabs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Примерные темы коллоквиумов, докладов, эссе, дискуссий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.</w:t>
      </w:r>
      <w:r>
        <w:rPr>
          <w:rFonts w:hint="default" w:ascii="Times New Roman" w:hAnsi="Times New Roman" w:cs="Times New Roman"/>
          <w:b/>
          <w:sz w:val="24"/>
          <w:szCs w:val="24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1. Эволюция источников газового  права. </w:t>
      </w:r>
      <w:r>
        <w:rPr>
          <w:rFonts w:ascii="Times New Roman" w:hAnsi="Times New Roman"/>
          <w:sz w:val="24"/>
          <w:highlight w:val="whit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2. Газовое право зарубежных государств.</w:t>
      </w:r>
      <w:r>
        <w:rPr>
          <w:rFonts w:ascii="Times New Roman" w:hAnsi="Times New Roman"/>
          <w:sz w:val="24"/>
          <w:highlight w:val="whit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3. Международные инфраструктурных газовые проекты. Разновидности. Источники правового регулирования.</w:t>
      </w:r>
      <w:r>
        <w:rPr>
          <w:rFonts w:ascii="Times New Roman" w:hAnsi="Times New Roman"/>
          <w:sz w:val="24"/>
          <w:highlight w:val="whit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4. Право собственности на объекты газовой инфраструктуры.</w:t>
      </w:r>
      <w:r>
        <w:rPr>
          <w:rFonts w:ascii="Times New Roman" w:hAnsi="Times New Roman"/>
          <w:sz w:val="24"/>
          <w:highlight w:val="whit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5.  Газ как  объект внешнеэкономических сделок. Особенности правового режима.</w:t>
      </w:r>
      <w:r>
        <w:rPr>
          <w:rFonts w:ascii="Times New Roman" w:hAnsi="Times New Roman"/>
          <w:sz w:val="24"/>
          <w:highlight w:val="whit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6. Особенности правового положения собственника Единой системы газоснабжения.</w:t>
      </w:r>
      <w:r>
        <w:rPr>
          <w:rFonts w:ascii="Times New Roman" w:hAnsi="Times New Roman"/>
          <w:sz w:val="24"/>
          <w:highlight w:val="whit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7.   Особенности правового положения единого  оператора газификации, регионального оператора газификации.</w:t>
      </w:r>
      <w:r>
        <w:rPr>
          <w:rFonts w:ascii="Times New Roman" w:hAnsi="Times New Roman"/>
          <w:sz w:val="24"/>
          <w:highlight w:val="whit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8. Договорное регулирование отношение на газовом рынке. </w:t>
      </w:r>
      <w:r>
        <w:rPr>
          <w:rFonts w:ascii="Times New Roman" w:hAnsi="Times New Roman"/>
          <w:sz w:val="24"/>
          <w:highlight w:val="whit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9. Порядок урегулирования споров в газовой  отрасли.</w:t>
      </w:r>
      <w:r>
        <w:rPr>
          <w:rFonts w:ascii="Times New Roman" w:hAnsi="Times New Roman"/>
          <w:sz w:val="24"/>
          <w:highlight w:val="whit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10. Виды ответственности за нарушение положений газового законодательства права.</w:t>
      </w:r>
      <w:r>
        <w:rPr>
          <w:rFonts w:ascii="Times New Roman" w:hAnsi="Times New Roman"/>
          <w:sz w:val="24"/>
          <w:highlight w:val="white"/>
        </w:rPr>
      </w:r>
    </w:p>
    <w:p>
      <w:pPr>
        <w:pStyle w:val="770"/>
        <w:contextualSpacing w:val="0"/>
        <w:ind w:left="728" w:firstLine="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770"/>
        <w:numPr>
          <w:ilvl w:val="1"/>
          <w:numId w:val="1"/>
        </w:numPr>
        <w:contextualSpacing w:val="0"/>
        <w:ind w:left="1448" w:hanging="720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Промежуточная аттестация</w:t>
      </w:r>
      <w:r>
        <w:rPr>
          <w:rFonts w:ascii="Times New Roman" w:hAnsi="Times New Roman"/>
          <w:b/>
          <w:sz w:val="24"/>
        </w:rPr>
      </w:r>
    </w:p>
    <w:p>
      <w:pPr>
        <w:pStyle w:val="770"/>
        <w:numPr>
          <w:ilvl w:val="0"/>
          <w:numId w:val="0"/>
        </w:numPr>
        <w:contextualSpacing w:val="0"/>
        <w:ind w:left="728" w:right="0"/>
        <w:jc w:val="both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highlight w:val="white"/>
        </w:rPr>
        <w:t xml:space="preserve">Оценка общего усвоения предложенного материала по курсу осуществляется с помощью тестирования</w:t>
      </w:r>
      <w:r>
        <w:rPr>
          <w:rFonts w:hint="default" w:ascii="Times New Roman" w:hAnsi="Times New Roman"/>
          <w:sz w:val="24"/>
          <w:highlight w:val="white"/>
          <w:lang w:val="ru-RU"/>
        </w:rPr>
        <w:t xml:space="preserve">/письменного опроса</w:t>
      </w:r>
      <w:r>
        <w:rPr>
          <w:rFonts w:ascii="Times New Roman" w:hAnsi="Times New Roman"/>
          <w:sz w:val="24"/>
          <w:highlight w:val="white"/>
        </w:rPr>
        <w:t xml:space="preserve">.</w:t>
      </w:r>
      <w:r>
        <w:rPr>
          <w:rFonts w:hint="default" w:ascii="Times New Roman" w:hAnsi="Times New Roman"/>
          <w:sz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lang w:val="ru-RU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hint="default" w:ascii="Times New Roman" w:hAnsi="Times New Roman"/>
          <w:sz w:val="24"/>
          <w:lang w:val="ru-RU"/>
        </w:rPr>
        <w:t xml:space="preserve">Вопросы к зачету</w:t>
      </w:r>
      <w:r>
        <w:rPr>
          <w:rFonts w:ascii="Times New Roman" w:hAnsi="Times New Roman"/>
          <w:sz w:val="24"/>
          <w:highlight w:val="white"/>
        </w:rPr>
        <w:t xml:space="preserve">:</w:t>
      </w:r>
      <w:r>
        <w:rPr>
          <w:rFonts w:ascii="Times New Roman" w:hAnsi="Times New Roman"/>
          <w:sz w:val="24"/>
          <w:highlight w:val="whit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1.  Эволюция источников  газового права. </w:t>
      </w:r>
      <w:r>
        <w:rPr>
          <w:rFonts w:ascii="Times New Roman" w:hAnsi="Times New Roman"/>
          <w:sz w:val="24"/>
          <w:highlight w:val="whit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2. Правовое регулирование экспорта природного газа.</w:t>
      </w:r>
      <w:r>
        <w:rPr>
          <w:rFonts w:ascii="Times New Roman" w:hAnsi="Times New Roman"/>
          <w:sz w:val="24"/>
          <w:highlight w:val="whit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3. Правовое регулирование экспорта СПГ.</w:t>
      </w:r>
      <w:r>
        <w:rPr>
          <w:rFonts w:ascii="Times New Roman" w:hAnsi="Times New Roman"/>
          <w:sz w:val="24"/>
          <w:highlight w:val="whit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4. Международно-правовое основы формирования и функционирования газовых хабов.</w:t>
      </w:r>
      <w:r>
        <w:rPr>
          <w:rFonts w:ascii="Times New Roman" w:hAnsi="Times New Roman"/>
          <w:sz w:val="24"/>
          <w:highlight w:val="whit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5. Правовое регулирование газификации: текущее состояние, тенденции развития.</w:t>
      </w:r>
      <w:r>
        <w:rPr>
          <w:rFonts w:ascii="Times New Roman" w:hAnsi="Times New Roman"/>
          <w:sz w:val="24"/>
          <w:highlight w:val="whit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6.Правовое регулирование строительства международных инфраструктурных объектов.</w:t>
      </w:r>
      <w:r>
        <w:rPr>
          <w:rFonts w:ascii="Times New Roman" w:hAnsi="Times New Roman"/>
          <w:sz w:val="24"/>
          <w:highlight w:val="whit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7. Особенности правового положения российских газовых компаний.</w:t>
      </w:r>
      <w:r>
        <w:rPr>
          <w:rFonts w:ascii="Times New Roman" w:hAnsi="Times New Roman"/>
          <w:sz w:val="24"/>
          <w:highlight w:val="whit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8.  Система договорного регулирования внутреннего рынка газа.</w:t>
      </w:r>
      <w:r>
        <w:rPr>
          <w:rFonts w:ascii="Times New Roman" w:hAnsi="Times New Roman"/>
          <w:sz w:val="24"/>
          <w:highlight w:val="whit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9. Особенности государственного регулирования газового рынка.</w:t>
      </w:r>
      <w:r>
        <w:rPr>
          <w:rFonts w:ascii="Times New Roman" w:hAnsi="Times New Roman"/>
          <w:sz w:val="24"/>
          <w:highlight w:val="whit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10. Государственный контроль (надзор) на газовом рынке.</w:t>
      </w:r>
      <w:r>
        <w:rPr>
          <w:rFonts w:ascii="Times New Roman" w:hAnsi="Times New Roman"/>
          <w:sz w:val="24"/>
          <w:highlight w:val="white"/>
        </w:rPr>
      </w:r>
    </w:p>
    <w:p>
      <w:pPr>
        <w:pStyle w:val="815"/>
        <w:jc w:val="both"/>
        <w:tabs>
          <w:tab w:val="left" w:pos="775" w:leader="none"/>
        </w:tabs>
        <w:rPr>
          <w:i/>
        </w:rPr>
      </w:pPr>
      <w:r>
        <w:rPr>
          <w:i/>
        </w:rPr>
      </w:r>
      <w:r>
        <w:rPr>
          <w:i/>
        </w:rPr>
      </w:r>
    </w:p>
    <w:p>
      <w:pPr>
        <w:pStyle w:val="702"/>
        <w:numPr>
          <w:ilvl w:val="0"/>
          <w:numId w:val="1"/>
        </w:numPr>
        <w:ind w:left="1088" w:right="441" w:firstLine="0"/>
        <w:jc w:val="center"/>
        <w:keepLines w:val="0"/>
        <w:keepNext w:val="0"/>
        <w:spacing w:before="0" w:line="240" w:lineRule="auto"/>
        <w:widowControl w:val="off"/>
        <w:tabs>
          <w:tab w:val="left" w:pos="927" w:leader="none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bookmarkStart w:id="8" w:name="_Toc19756"/>
      <w:r>
        <w:rPr>
          <w:rFonts w:ascii="Times New Roman" w:hAnsi="Times New Roman"/>
          <w:color w:val="000000"/>
          <w:sz w:val="24"/>
        </w:rPr>
        <w:t xml:space="preserve">Методические материалы, определяющие процедуры оценивания</w:t>
      </w:r>
      <w:bookmarkEnd w:id="8"/>
      <w:r/>
      <w:r>
        <w:rPr>
          <w:rFonts w:ascii="Times New Roman" w:hAnsi="Times New Roman"/>
          <w:color w:val="000000"/>
          <w:sz w:val="24"/>
        </w:rPr>
      </w:r>
    </w:p>
    <w:p>
      <w:pPr>
        <w:ind w:left="0" w:firstLine="567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</w:pPr>
      <w:r>
        <w:rPr>
          <w:rStyle w:val="782"/>
          <w:sz w:val="24"/>
        </w:rPr>
        <w:t xml:space="preserve">Процедура оценивания результатов обучения по дисциплине </w:t>
      </w:r>
      <w:r>
        <w:t xml:space="preserve">характеризующих этапы формирования </w:t>
      </w:r>
      <w:r>
        <w:rPr>
          <w:lang w:val="ru-RU"/>
        </w:rPr>
        <w:t xml:space="preserve">знаний</w:t>
      </w:r>
      <w:r>
        <w:rPr>
          <w:rFonts w:hint="default"/>
          <w:lang w:val="ru-RU"/>
        </w:rPr>
        <w:t xml:space="preserve">, умений и навыков</w:t>
      </w:r>
      <w:r>
        <w:rPr>
          <w:rStyle w:val="782"/>
          <w:sz w:val="24"/>
        </w:rPr>
        <w:t xml:space="preserve"> представлена паспортом фонда оценочных средств по дисциплин</w:t>
      </w:r>
      <w:r>
        <w:rPr>
          <w:rStyle w:val="782"/>
          <w:sz w:val="24"/>
          <w:lang w:val="ru-RU"/>
        </w:rPr>
        <w:t xml:space="preserve">е</w:t>
      </w:r>
      <w:r>
        <w:rPr>
          <w:rStyle w:val="782"/>
          <w:rFonts w:hint="default"/>
          <w:sz w:val="24"/>
          <w:lang w:val="ru-RU"/>
        </w:rPr>
        <w:t xml:space="preserve">.</w:t>
      </w:r>
      <w:r>
        <w:t xml:space="preserve">.</w:t>
      </w:r>
      <w:r/>
    </w:p>
    <w:p>
      <w:pPr>
        <w:pStyle w:val="741"/>
        <w:ind w:left="0" w:firstLine="706"/>
        <w:spacing w:line="240" w:lineRule="auto"/>
        <w:widowControl/>
      </w:pPr>
      <w:r>
        <w:rPr>
          <w:rStyle w:val="782"/>
          <w:sz w:val="24"/>
        </w:rPr>
        <w:t xml:space="preserve">Комплект оценочных средств хранится </w:t>
      </w:r>
      <w:r>
        <w:t xml:space="preserve">в Центре, ежегодно обновляется. Для промежуточной аттестации в виде экзамена КОС по дисциплине обновляется и утверждается за 14 дней до начала сессионного периода и хранится в недоступном месте от несанкционированного доступа </w:t>
      </w:r>
      <w:r/>
    </w:p>
    <w:p>
      <w:pPr>
        <w:pStyle w:val="741"/>
        <w:ind w:left="0" w:firstLine="706"/>
        <w:spacing w:line="240" w:lineRule="auto"/>
        <w:widowControl/>
        <w:rPr>
          <w:rStyle w:val="782"/>
          <w:sz w:val="24"/>
        </w:rPr>
      </w:pPr>
      <w:r>
        <w:rPr>
          <w:rStyle w:val="782"/>
          <w:b/>
          <w:sz w:val="24"/>
        </w:rPr>
        <w:t xml:space="preserve">Порядок проведения текущего, рубежного контроля</w:t>
      </w:r>
      <w:r>
        <w:rPr>
          <w:rStyle w:val="782"/>
          <w:sz w:val="24"/>
        </w:rPr>
        <w:t xml:space="preserve"> успеваемости, и промежуточной аттестации обучающихся по ОПОП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аспирантуры.</w:t>
      </w:r>
      <w:r>
        <w:rPr>
          <w:rStyle w:val="782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sz w:val="24"/>
        </w:rPr>
      </w:pPr>
      <w:r>
        <w:rPr>
          <w:rStyle w:val="782"/>
          <w:b/>
          <w:sz w:val="24"/>
        </w:rPr>
        <w:t xml:space="preserve">Текущий контроль</w:t>
      </w:r>
      <w:r>
        <w:rPr>
          <w:rStyle w:val="782"/>
          <w:sz w:val="24"/>
        </w:rPr>
        <w:t xml:space="preserve"> успеваемости является формой контроля качества знаний обучающихся, осуществляемого в межсессионный период обучения с целью определения качества освоения ОПОП.</w:t>
      </w:r>
      <w:r>
        <w:rPr>
          <w:rStyle w:val="782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sz w:val="24"/>
        </w:rPr>
      </w:pPr>
      <w:r>
        <w:rPr>
          <w:rStyle w:val="782"/>
          <w:sz w:val="24"/>
        </w:rPr>
        <w:t xml:space="preserve">Текущий контроль успеваемости осуществляется: на лекциях, семинарских занятиях, в рамках контроля самостоятельной работы.</w:t>
      </w:r>
      <w:r>
        <w:rPr>
          <w:rStyle w:val="782"/>
          <w:sz w:val="24"/>
        </w:rPr>
        <w:t xml:space="preserve"> Обучающиеся заранее информируются о критериях и процедуре текущего контроля успеваемости преподавателями по соответствующей учебной дисциплине. Успеваемость при текущем контроле характеризует объем и качество выполненной обучающимся работы по дисциплине. </w:t>
      </w:r>
      <w:r>
        <w:rPr>
          <w:rStyle w:val="782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sz w:val="24"/>
        </w:rPr>
      </w:pPr>
      <w:r>
        <w:rPr>
          <w:rStyle w:val="782"/>
          <w:sz w:val="24"/>
        </w:rPr>
        <w:t xml:space="preserve">Педагогические виды и формы, испо</w:t>
      </w:r>
      <w:r>
        <w:rPr>
          <w:rStyle w:val="782"/>
          <w:sz w:val="24"/>
        </w:rPr>
        <w:t xml:space="preserve">льзуемые в процессе текущего контроля успеваемости обучающихся, определяются преподавателем. Выбираемый вид текущего контроля обеспечивает наиболее полный и объективный контроль (измерение и фиксирование) уровня освоения результатов обучения по дисциплине.</w:t>
      </w:r>
      <w:r>
        <w:rPr>
          <w:rStyle w:val="782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sz w:val="24"/>
        </w:rPr>
      </w:pPr>
      <w:r>
        <w:rPr>
          <w:rStyle w:val="782"/>
          <w:sz w:val="24"/>
        </w:rPr>
        <w:t xml:space="preserve">В целях обеспечения текущего контроля успеваемости преподаватель проводит консультации.</w:t>
      </w:r>
      <w:r>
        <w:rPr>
          <w:rStyle w:val="782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sz w:val="24"/>
        </w:rPr>
      </w:pPr>
      <w:r>
        <w:rPr>
          <w:rStyle w:val="782"/>
          <w:sz w:val="24"/>
        </w:rPr>
        <w:t xml:space="preserve">При аттестации обучающихся учитываются следующие факторы:</w:t>
      </w:r>
      <w:r>
        <w:rPr>
          <w:rStyle w:val="782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Style w:val="782"/>
          <w:sz w:val="24"/>
        </w:rPr>
        <w:t xml:space="preserve">результаты работы на занятиях, показанные при этом знания по дисциплине </w:t>
      </w:r>
      <w:r>
        <w:rPr>
          <w:rFonts w:ascii="Times New Roman" w:hAnsi="Times New Roman"/>
          <w:sz w:val="24"/>
        </w:rPr>
        <w:t xml:space="preserve">(модулю), усвоение навыков практического применения теоретических знаний, степень активности на практических (семинарских) занятиях;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и активность участия в докладах и дискуссиях;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выполнения письменных работ;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и объем выполненных заданий в рамках самостоятельной работы обучающихся;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личных бесед с обучающимися по материалу учебной дисциплины;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посещение обучающимися семинарских занятий;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своевременная ликвидация задолженностей по пройденному материалу, возникших вследствие пропуска занятий либо неудовлетворительных оценок по результатам работы на занятиях;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прохождения контрольных точек по дисциплине (при использовании балльно-рейтинговой системы).</w:t>
      </w:r>
      <w:r>
        <w:rPr>
          <w:rFonts w:ascii="Times New Roman" w:hAnsi="Times New Roman"/>
          <w:sz w:val="24"/>
        </w:rPr>
      </w:r>
    </w:p>
    <w:p>
      <w:pPr>
        <w:pStyle w:val="741"/>
        <w:ind w:left="0" w:firstLine="706"/>
        <w:spacing w:line="240" w:lineRule="auto"/>
        <w:widowControl/>
        <w:rPr>
          <w:rStyle w:val="782"/>
          <w:sz w:val="24"/>
        </w:rPr>
      </w:pPr>
      <w:r>
        <w:rPr>
          <w:rStyle w:val="782"/>
          <w:b/>
          <w:sz w:val="24"/>
        </w:rPr>
        <w:t xml:space="preserve">Промежуточная аттестация</w:t>
      </w:r>
      <w:r>
        <w:rPr>
          <w:rStyle w:val="782"/>
          <w:sz w:val="24"/>
        </w:rPr>
        <w:t xml:space="preserve"> обучающихся является формой контроля результатов обучения по дисциплине с целью комплексного определения соответствия уровня и качества знаний, умений и навыков обучающихся требованиям, установленным образовательной программой.</w:t>
      </w:r>
      <w:r>
        <w:rPr>
          <w:rStyle w:val="782"/>
          <w:sz w:val="24"/>
        </w:rPr>
      </w:r>
    </w:p>
    <w:p>
      <w:pPr>
        <w:pStyle w:val="741"/>
        <w:ind w:left="0" w:firstLine="0"/>
        <w:spacing w:line="240" w:lineRule="auto"/>
        <w:widowControl/>
        <w:rPr>
          <w:rStyle w:val="782"/>
          <w:sz w:val="24"/>
        </w:rPr>
      </w:pPr>
      <w:r>
        <w:rPr>
          <w:sz w:val="24"/>
        </w:rPr>
      </w:r>
      <w:r>
        <w:rPr>
          <w:rStyle w:val="782"/>
          <w:sz w:val="24"/>
        </w:rPr>
      </w:r>
    </w:p>
    <w:p>
      <w:pPr>
        <w:pStyle w:val="702"/>
        <w:numPr>
          <w:ilvl w:val="0"/>
          <w:numId w:val="1"/>
        </w:numPr>
        <w:ind w:left="1088" w:right="441" w:firstLine="0"/>
        <w:jc w:val="center"/>
        <w:keepLines w:val="0"/>
        <w:keepNext w:val="0"/>
        <w:spacing w:before="0" w:line="240" w:lineRule="auto"/>
        <w:widowControl w:val="off"/>
        <w:tabs>
          <w:tab w:val="left" w:pos="927" w:leader="none"/>
        </w:tabs>
        <w:rPr>
          <w:rFonts w:ascii="Times New Roman" w:hAnsi="Times New Roman"/>
          <w:color w:val="000000"/>
          <w:sz w:val="24"/>
        </w:rPr>
      </w:pPr>
      <w:r/>
      <w:bookmarkStart w:id="9" w:name="_Toc4763"/>
      <w:r>
        <w:rPr>
          <w:rFonts w:ascii="Times New Roman" w:hAnsi="Times New Roman"/>
          <w:color w:val="000000"/>
          <w:sz w:val="24"/>
        </w:rPr>
        <w:t xml:space="preserve">Особенности освоения дисциплины для инвалидов и лиц с ограниченными возможностями</w:t>
      </w:r>
      <w:bookmarkEnd w:id="9"/>
      <w:r/>
      <w:r>
        <w:rPr>
          <w:rFonts w:ascii="Times New Roman" w:hAnsi="Times New Roman"/>
          <w:color w:val="000000"/>
          <w:sz w:val="24"/>
        </w:rPr>
      </w:r>
    </w:p>
    <w:p>
      <w:pPr>
        <w:pStyle w:val="728"/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28"/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/>
      <w:bookmarkStart w:id="10" w:name="_Hlk66195050"/>
      <w:r>
        <w:rPr>
          <w:rFonts w:ascii="Times New Roman" w:hAnsi="Times New Roman"/>
          <w:color w:val="222222"/>
          <w:sz w:val="24"/>
          <w:highlight w:val="white"/>
        </w:rPr>
        <w:t xml:space="preserve">Обучение обучающихся с ограниченными возможностями здоровья при необходимости осуществляется на основе адаптированной рабочей программы с исполь</w:t>
      </w:r>
      <w:r>
        <w:rPr>
          <w:rFonts w:ascii="Times New Roman" w:hAnsi="Times New Roman"/>
          <w:color w:val="222222"/>
          <w:sz w:val="24"/>
          <w:highlight w:val="white"/>
        </w:rPr>
        <w:t xml:space="preserve">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при необходимости обеспечивающих коррекцию нарушений развития и социальную адаптацию указанных лиц</w:t>
      </w:r>
      <w:r>
        <w:rPr>
          <w:rFonts w:ascii="Times New Roman" w:hAnsi="Times New Roman"/>
          <w:sz w:val="24"/>
        </w:rPr>
        <w:t xml:space="preserve">.</w:t>
      </w:r>
      <w:bookmarkEnd w:id="10"/>
      <w:r/>
      <w:r>
        <w:rPr>
          <w:rFonts w:ascii="Times New Roman" w:hAnsi="Times New Roman"/>
          <w:sz w:val="24"/>
        </w:rPr>
      </w:r>
    </w:p>
    <w:p>
      <w:pPr>
        <w:pStyle w:val="728"/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Самостоятельная работа обучающихся с ограниченными возможностями здоровья и инвалидов позволяет своевременно выявить затруднения и отставание и внести коррективы в учебную деятельность. Конкретные формы и виды самостоятельной работы </w:t>
      </w:r>
      <w:r>
        <w:rPr>
          <w:rFonts w:ascii="Times New Roman" w:hAnsi="Times New Roman"/>
          <w:sz w:val="24"/>
        </w:rPr>
        <w:t xml:space="preserve">обучающихся лиц с ограниченными возможностями здоровья и инвалидов устанавливаются преподавателем. Выбор форм и видов самостоятельной работы, обучающихся с ограниченными возможностями здоровья и инвалидов осуществляется с учетом их способностей, особенност</w:t>
      </w:r>
      <w:r>
        <w:rPr>
          <w:rFonts w:ascii="Times New Roman" w:hAnsi="Times New Roman"/>
          <w:sz w:val="24"/>
        </w:rPr>
        <w:t xml:space="preserve">ей восприятия и готовности к освоению учебного материала. Формы самостоятельной работы устанавливаются с учетом индивидуальных психофизических особенностей (устно, письменно на бумаге или на компьютере, в форме тестирования, электронных тренажеров и т.п.).</w:t>
      </w:r>
      <w:r>
        <w:rPr>
          <w:rFonts w:ascii="Times New Roman" w:hAnsi="Times New Roman"/>
          <w:sz w:val="24"/>
        </w:rPr>
      </w:r>
    </w:p>
    <w:p>
      <w:pPr>
        <w:ind w:left="0" w:right="7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формы представления оценочных средств – в печатной форме или в форме электронного документа. Для </w:t>
      </w:r>
      <w:r>
        <w:rPr>
          <w:rFonts w:ascii="Times New Roman" w:hAnsi="Times New Roman"/>
          <w:sz w:val="24"/>
        </w:rPr>
        <w:t xml:space="preserve">обучающихся с нарушениями зрения предусматривается возможность проведения текущего и промежуточного контроля в устной форме. Для обучающихся с нарушениями слуха предусматривается возможность проведения текущего и промежуточного контроля в письменной форме.</w:t>
      </w:r>
      <w:r>
        <w:rPr>
          <w:rFonts w:ascii="Times New Roman" w:hAnsi="Times New Roman"/>
          <w:sz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7.1. </w:t>
      </w:r>
      <w:r>
        <w:rPr>
          <w:rFonts w:ascii="Symbol" w:hAnsi="Symbol"/>
          <w:color w:val="000000"/>
          <w:sz w:val="24"/>
        </w:rPr>
        <w:t xml:space="preserve">-</w:t>
      </w:r>
      <w:r>
        <w:rPr>
          <w:rFonts w:ascii="Times New Roman" w:hAnsi="Times New Roman"/>
          <w:color w:val="000000"/>
          <w:sz w:val="24"/>
        </w:rPr>
        <w:t xml:space="preserve"> Категории обучающихся с ОВЗ, способы восприятия ими информации и методы их обучения.</w:t>
      </w:r>
      <w:r>
        <w:rPr>
          <w:rFonts w:ascii="Times New Roman" w:hAnsi="Times New Roman"/>
          <w:color w:val="000000"/>
          <w:sz w:val="24"/>
        </w:rPr>
      </w:r>
    </w:p>
    <w:tbl>
      <w:tblPr>
        <w:tblStyle w:val="712"/>
        <w:tblW w:w="0" w:type="auto"/>
        <w:tblInd w:w="-5" w:type="dxa"/>
        <w:tblLayout w:type="fixed"/>
        <w:tblCellMar>
          <w:left w:w="108" w:type="dxa"/>
          <w:top w:w="7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1560"/>
        <w:gridCol w:w="1984"/>
        <w:gridCol w:w="5925"/>
      </w:tblGrid>
      <w:tr>
        <w:tblPrEx/>
        <w:trPr>
          <w:trHeight w:val="300"/>
          <w:tblHeader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3544" w:type="dxa"/>
            <w:textDirection w:val="lrTb"/>
            <w:noWrap w:val="false"/>
          </w:tcPr>
          <w:p>
            <w:pPr>
              <w:ind w:left="6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textDirection w:val="lrTb"/>
            <w:noWrap w:val="false"/>
          </w:tcPr>
          <w:p>
            <w:pPr>
              <w:ind w:left="687" w:right="616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Методы обучения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Слепые.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предусматривающие поступление учебной информации посредством слуха и осязания.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Могут использоваться при условии, что визуальная информация будет адаптирована для лиц с нарушениями зрения: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предполагающие передачу и восприятие учебной информации при помощи зрения и осязания;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аудио-визуальные, основанные на представление учебной информации, при которых задействовано зрительное и слуховое восприятие;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базирующиеся на представлении информации, которая поступает по зрительному, слуховому и осязательному каналам восприятие.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Слабовидящие.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Глухие.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зрительно-осязательный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предполагающие передачу и восприятие учебной информации при помощи зрения и осязания.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Могут использоваться при условии, что аудиальная информация будет адаптирована для лиц с нарушениями слуха: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аудио-визуальные</w:t>
            </w:r>
            <w:r>
              <w:rPr>
                <w:rFonts w:ascii="Times New Roman" w:hAnsi="Times New Roman"/>
                <w:color w:val="000000"/>
              </w:rPr>
              <w:t xml:space="preserve">, основанные на представление учебной информации, при которых задействовано зрительное и слуховое восприятие;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предусматривающие поступление учебной информации посредством слуха и осязания;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базирующиеся на представлении информации, которая поступает по зрительному, слуховому и осязательному каналам восприятие.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Слабослышащие.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5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опорно-двигательного аппарата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19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 восприятия информации: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  <w:tcW w:w="5925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3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аудио-визуальные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3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3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аудио-визуально-кинестетические.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7.2. – Способы адаптации образовательных ресурсов.</w:t>
      </w:r>
      <w:r>
        <w:rPr>
          <w:rFonts w:ascii="Times New Roman" w:hAnsi="Times New Roman"/>
          <w:color w:val="000000"/>
          <w:sz w:val="24"/>
        </w:rPr>
      </w:r>
    </w:p>
    <w:p>
      <w:pPr>
        <w:ind w:left="129" w:firstLine="0"/>
        <w:spacing w:after="0" w:line="240" w:lineRule="auto"/>
        <w:widowControl w:val="off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Условные обозначения:</w:t>
      </w:r>
      <w:r>
        <w:rPr>
          <w:rFonts w:ascii="Times New Roman" w:hAnsi="Times New Roman"/>
          <w:i/>
          <w:sz w:val="24"/>
        </w:rPr>
      </w:r>
    </w:p>
    <w:p>
      <w:pPr>
        <w:ind w:left="129" w:firstLine="0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«+» —</w:t>
      </w:r>
      <w:r>
        <w:rPr>
          <w:rFonts w:ascii="Times New Roman" w:hAnsi="Times New Roman"/>
          <w:sz w:val="24"/>
        </w:rPr>
        <w:t xml:space="preserve">образовательный ресурс, не требующий адаптации;</w:t>
      </w:r>
      <w:r>
        <w:rPr>
          <w:rFonts w:ascii="Times New Roman" w:hAnsi="Times New Roman"/>
          <w:sz w:val="24"/>
        </w:rPr>
      </w:r>
    </w:p>
    <w:p>
      <w:pPr>
        <w:ind w:left="129" w:right="304" w:firstLine="0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«АФ» — адаптированный формат к особенностям приема-передачи информации обучающихся инвалидов и лиц с ОВЗ формат образовательного ресурса, в том числе с использованием специальных технических средств;</w:t>
      </w:r>
      <w:r>
        <w:rPr>
          <w:rFonts w:ascii="Times New Roman" w:hAnsi="Times New Roman"/>
          <w:sz w:val="24"/>
        </w:rPr>
      </w:r>
    </w:p>
    <w:p>
      <w:pPr>
        <w:ind w:left="129" w:firstLine="0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«АЭ»— альтернативный эквивалент используемого ресурса</w:t>
      </w:r>
      <w:r>
        <w:rPr>
          <w:rFonts w:ascii="Times New Roman" w:hAnsi="Times New Roman"/>
          <w:sz w:val="24"/>
        </w:rPr>
      </w:r>
    </w:p>
    <w:tbl>
      <w:tblPr>
        <w:tblStyle w:val="712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266"/>
        <w:gridCol w:w="861"/>
        <w:gridCol w:w="1701"/>
        <w:gridCol w:w="1806"/>
        <w:gridCol w:w="1029"/>
        <w:gridCol w:w="1418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127" w:type="dxa"/>
            <w:vMerge w:val="restart"/>
            <w:textDirection w:val="lrTb"/>
            <w:noWrap w:val="false"/>
          </w:tcPr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Категории </w:t>
            </w:r>
            <w:r>
              <w:rPr>
                <w:rFonts w:ascii="Times New Roman" w:hAnsi="Times New Roman"/>
              </w:rPr>
            </w:r>
          </w:p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обучающихся </w:t>
            </w:r>
            <w:r>
              <w:rPr>
                <w:rFonts w:ascii="Times New Roman" w:hAnsi="Times New Roman"/>
              </w:rPr>
            </w:r>
          </w:p>
          <w:p>
            <w:pPr>
              <w:ind w:left="4" w:hanging="4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нозологиям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0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Образовательные ресурсы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1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9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Электронные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Печатные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5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1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мультимедиа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графические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аудио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текстовые, электронные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аналоги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печатных изданий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нарушениями зрения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Слепые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ind w:left="2" w:hanging="2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создание материальной модели графического объекта (3Dмодели)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аудио описание)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ind w:left="2" w:hanging="2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печатный материал, выполненный рельеф</w:t>
            </w:r>
            <w:r>
              <w:rPr>
                <w:rFonts w:ascii="Times New Roman" w:hAnsi="Times New Roman"/>
                <w:spacing w:val="-1"/>
              </w:rPr>
              <w:t xml:space="preserve">но-точечным </w:t>
            </w:r>
            <w:r>
              <w:rPr>
                <w:rFonts w:ascii="Times New Roman" w:hAnsi="Times New Roman"/>
              </w:rPr>
              <w:t xml:space="preserve">шрифтом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Л.Брайля)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Слабовидящие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нарушениями слуха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Глухие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АЭ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текстовое описание, гипер-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ссылки)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Слабослышащие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12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нарушениями опорно-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двигательного аппарата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/>
      <w:bookmarkStart w:id="11" w:name="_Hlk504003203"/>
      <w:r/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Таблица 7.3. - Формы контроля и оценки результатов обучения инвалидов и лиц с ОВЗ</w:t>
      </w:r>
      <w:r>
        <w:rPr>
          <w:rFonts w:ascii="Times New Roman" w:hAnsi="Times New Roman"/>
          <w:color w:val="ff0000"/>
          <w:sz w:val="24"/>
        </w:rPr>
      </w:r>
    </w:p>
    <w:tbl>
      <w:tblPr>
        <w:tblStyle w:val="712"/>
        <w:tblW w:w="0" w:type="auto"/>
        <w:tblInd w:w="0" w:type="dxa"/>
        <w:tblLayout w:type="fixed"/>
        <w:tblCellMar>
          <w:left w:w="41" w:type="dxa"/>
          <w:top w:w="53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1838"/>
        <w:gridCol w:w="7559"/>
      </w:tblGrid>
      <w:tr>
        <w:tblPrEx/>
        <w:trPr>
          <w:trHeight w:val="853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8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контроля и оценки результатов обучения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1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8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559" w:type="dxa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устная проверка:</w:t>
            </w:r>
            <w:r>
              <w:rPr>
                <w:rFonts w:ascii="Times New Roman" w:hAnsi="Times New Roman"/>
                <w:color w:val="000000"/>
              </w:rPr>
              <w:t xml:space="preserve"> дискуссии, тренинги, круглые столы, собеседования, устные коллоквиумы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4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: работа с электронными образовательными ресурсами, тестирование, рефераты, курсовые проекты, дистанционные формы, если позволяет острота зрения - графические работы и др. 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13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18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3" w:type="dxa"/>
              <w:right w:w="115" w:type="dxa"/>
            </w:tcMar>
            <w:tcW w:w="7559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письменная проверка:</w:t>
            </w:r>
            <w:r>
              <w:rPr>
                <w:rFonts w:ascii="Times New Roman" w:hAnsi="Times New Roman"/>
                <w:color w:val="000000"/>
              </w:rPr>
              <w:t xml:space="preserve"> контрольные, графические работы, тестирование, домашние задания, эссе, письменные коллоквиумы, отчеты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numPr>
                <w:ilvl w:val="0"/>
                <w:numId w:val="5"/>
              </w:num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с использованием компьютера и специального ПО:</w:t>
            </w:r>
            <w:r>
              <w:rPr>
                <w:rFonts w:ascii="Times New Roman" w:hAnsi="Times New Roman"/>
                <w:color w:val="000000"/>
              </w:rPr>
              <w:t xml:space="preserve"> работа с электронными образовательными ресурсами, тестирование, рефераты, курсовые проекты, графические работы, дистанционные формы и др.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blPrEx/>
        <w:trPr>
          <w:trHeight w:val="33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4" w:type="dxa"/>
              <w:right w:w="97" w:type="dxa"/>
              <w:bottom w:w="0" w:type="dxa"/>
            </w:tcMar>
            <w:tcW w:w="18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 нарушениями опорно-двигательного аппарата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1" w:type="dxa"/>
              <w:top w:w="54" w:type="dxa"/>
              <w:right w:w="97" w:type="dxa"/>
              <w:bottom w:w="0" w:type="dxa"/>
            </w:tcMar>
            <w:tcW w:w="7559" w:type="dxa"/>
            <w:textDirection w:val="lrTb"/>
            <w:noWrap w:val="false"/>
          </w:tcPr>
          <w:p>
            <w:pPr>
              <w:pStyle w:val="770"/>
              <w:numPr>
                <w:ilvl w:val="0"/>
                <w:numId w:val="6"/>
              </w:numPr>
              <w:contextualSpacing w:val="0"/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письменная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(альтернативных средства ввода, управления компьютером и др.): контрольные, графические работы, тестирование, домашние задания, эссе, письменные коллоквиумы, отчеты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770"/>
              <w:numPr>
                <w:ilvl w:val="0"/>
                <w:numId w:val="6"/>
              </w:numPr>
              <w:contextualSpacing w:val="0"/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устная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(средств коммуникаций): дискуссии, тренинги, круглые столы, собеседования, устные коллоквиумы и др.;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770"/>
              <w:numPr>
                <w:ilvl w:val="0"/>
                <w:numId w:val="6"/>
              </w:numPr>
              <w:contextualSpacing w:val="0"/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 (альт</w:t>
            </w:r>
            <w:r>
              <w:rPr>
                <w:rFonts w:ascii="Times New Roman" w:hAnsi="Times New Roman"/>
                <w:color w:val="000000"/>
              </w:rPr>
              <w:t xml:space="preserve">ернативных средств ввода и управления компьютером и др.): работа с электронными образовательными ресурсами, тестирование, рефераты, курсовые проекты, графические работы, дистанционные формы - предпочтительнее обучающимся, ограниченным в передвижении и др. </w:t>
            </w:r>
            <w:bookmarkEnd w:id="11"/>
            <w:r/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1"/>
        </w:numPr>
        <w:ind w:left="0" w:firstLine="698"/>
        <w:jc w:val="both"/>
        <w:spacing w:after="0" w:line="240" w:lineRule="auto"/>
        <w:widowControl w:val="o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Задания для текущего контроля для инвалидов и лиц с ограниченными возможностями</w:t>
      </w:r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Текущий контроль и промежуточная аттестация</w:t>
      </w:r>
      <w:r>
        <w:rPr>
          <w:rFonts w:ascii="Times New Roman" w:hAnsi="Times New Roman"/>
          <w:sz w:val="24"/>
        </w:rPr>
        <w:t xml:space="preserve"> обучающихся инвалидов и лиц с ОВЗ осуществляется с использованием оценочных средств, адаптированных к ограничениям их здоровья и восприятия информации, в том числе с использованием специальных технических средств.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Текущий контроль успеваемости для обучающихся инвалидов и лиц с ОВЗ</w:t>
      </w:r>
      <w:r>
        <w:rPr>
          <w:rFonts w:ascii="Times New Roman" w:hAnsi="Times New Roman"/>
          <w:sz w:val="24"/>
        </w:rPr>
        <w:t xml:space="preserve"> направлен на своевременное выявление затруднений и отставания в обучении и внесения коррективов в учебную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деятельность. Возможно осуществление входного контроля для определения его способностей, особенностей восприятия и готовности к освоению учебного материала. 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1"/>
          <w:numId w:val="1"/>
        </w:num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Задания для промежуточной аттестации для инвалидов и лиц с ограниченными возможностями</w:t>
      </w:r>
      <w:r>
        <w:rPr>
          <w:rFonts w:ascii="Times New Roman" w:hAnsi="Times New Roman"/>
          <w:b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Форма промежуточной аттестации</w:t>
      </w:r>
      <w:r>
        <w:rPr>
          <w:rFonts w:ascii="Times New Roman" w:hAnsi="Times New Roman"/>
          <w:sz w:val="24"/>
        </w:rPr>
        <w:t xml:space="preserve">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i/>
          <w:sz w:val="24"/>
        </w:rPr>
        <w:t xml:space="preserve">Промежуточная аттестация</w:t>
      </w:r>
      <w:r>
        <w:rPr>
          <w:rFonts w:ascii="Times New Roman" w:hAnsi="Times New Roman"/>
          <w:sz w:val="24"/>
        </w:rPr>
        <w:t xml:space="preserve">, при необходимости,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или темы</w:t>
      </w:r>
      <w:r>
        <w:rPr>
          <w:rFonts w:ascii="Times New Roman" w:hAnsi="Times New Roman"/>
          <w:sz w:val="24"/>
        </w:rPr>
        <w:t xml:space="preserve">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с учетом индивидуальных психофизических особенностей обучающихся.</w:t>
      </w:r>
      <w:r>
        <w:rPr>
          <w:rFonts w:ascii="Times New Roman" w:hAnsi="Times New Roman"/>
          <w:color w:val="ff0000"/>
          <w:sz w:val="24"/>
        </w:rPr>
      </w:r>
    </w:p>
    <w:p>
      <w:pPr>
        <w:spacing w:after="0" w:line="240" w:lineRule="auto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</w:r>
      <w:r>
        <w:rPr>
          <w:rFonts w:ascii="Times New Roman" w:hAnsi="Times New Roman"/>
          <w:color w:val="ff0000"/>
          <w:sz w:val="28"/>
        </w:rPr>
      </w:r>
    </w:p>
    <w:p>
      <w:pPr>
        <w:spacing w:after="0" w:line="240" w:lineRule="auto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</w:r>
      <w:r>
        <w:rPr>
          <w:rFonts w:ascii="Times New Roman" w:hAnsi="Times New Roman"/>
          <w:color w:val="ff0000"/>
          <w:sz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851" w:bottom="1134" w:left="1701" w:header="34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Wingdings">
    <w:panose1 w:val="05000000000000000000"/>
  </w:font>
  <w:font w:name="Courier New">
    <w:panose1 w:val="02070309020205020404"/>
  </w:font>
  <w:font w:name="Segoe UI Symbol">
    <w:panose1 w:val="020B0502040204020203"/>
  </w:font>
  <w:font w:name="Symbol">
    <w:panose1 w:val="05050102010706020507"/>
  </w:font>
  <w:font w:name="Times New Roman">
    <w:panose1 w:val="02020603050405020304"/>
  </w:font>
  <w:font w:name="XO Thames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737"/>
      <w:jc w:val="right"/>
    </w:pPr>
    <w:r/>
    <w:r/>
  </w:p>
  <w:p>
    <w:pPr>
      <w:pStyle w:val="73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76" w:lineRule="auto"/>
      </w:pPr>
      <w:r>
        <w:separator/>
      </w:r>
      <w:r/>
    </w:p>
  </w:footnote>
  <w:footnote w:type="continuationSeparator" w:id="0">
    <w:p>
      <w:pPr>
        <w:spacing w:before="0" w:after="0" w:line="276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2"/>
      <w:ind w:left="23" w:firstLine="740"/>
      <w:jc w:val="right"/>
      <w:keepLines/>
      <w:keepNext/>
      <w:spacing w:line="240" w:lineRule="auto"/>
      <w:rPr>
        <w:rStyle w:val="751"/>
        <w:b w:val="0"/>
      </w:rPr>
    </w:pPr>
    <w:r>
      <w:rPr>
        <w:b w:val="0"/>
      </w:rPr>
    </w:r>
    <w:r>
      <w:rPr>
        <w:rStyle w:val="751"/>
        <w:b w:val="0"/>
      </w:rPr>
    </w:r>
  </w:p>
  <w:p>
    <w:pPr>
      <w:pStyle w:val="72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2">
      <w:start w:val="1"/>
      <w:numFmt w:val="bullet"/>
      <w:isLgl w:val="false"/>
      <w:suff w:val="tab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3">
      <w:start w:val="1"/>
      <w:numFmt w:val="bullet"/>
      <w:isLgl w:val="false"/>
      <w:suff w:val="tab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4">
      <w:start w:val="1"/>
      <w:numFmt w:val="bullet"/>
      <w:isLgl w:val="false"/>
      <w:suff w:val="tab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5">
      <w:start w:val="1"/>
      <w:numFmt w:val="bullet"/>
      <w:isLgl w:val="false"/>
      <w:suff w:val="tab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6">
      <w:start w:val="1"/>
      <w:numFmt w:val="bullet"/>
      <w:isLgl w:val="false"/>
      <w:suff w:val="tab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7">
      <w:start w:val="1"/>
      <w:numFmt w:val="bullet"/>
      <w:isLgl w:val="false"/>
      <w:suff w:val="tab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8">
      <w:start w:val="1"/>
      <w:numFmt w:val="bullet"/>
      <w:isLgl w:val="false"/>
      <w:suff w:val="tab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8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44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8" w:hanging="216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2">
      <w:start w:val="1"/>
      <w:numFmt w:val="bullet"/>
      <w:isLgl w:val="false"/>
      <w:suff w:val="tab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3">
      <w:start w:val="1"/>
      <w:numFmt w:val="bullet"/>
      <w:isLgl w:val="false"/>
      <w:suff w:val="tab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4">
      <w:start w:val="1"/>
      <w:numFmt w:val="bullet"/>
      <w:isLgl w:val="false"/>
      <w:suff w:val="tab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5">
      <w:start w:val="1"/>
      <w:numFmt w:val="bullet"/>
      <w:isLgl w:val="false"/>
      <w:suff w:val="tab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6">
      <w:start w:val="1"/>
      <w:numFmt w:val="bullet"/>
      <w:isLgl w:val="false"/>
      <w:suff w:val="tab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/>
      </w:rPr>
    </w:lvl>
    <w:lvl w:ilvl="7">
      <w:start w:val="1"/>
      <w:numFmt w:val="bullet"/>
      <w:isLgl w:val="false"/>
      <w:suff w:val="tab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  <w:lvl w:ilvl="8">
      <w:start w:val="1"/>
      <w:numFmt w:val="bullet"/>
      <w:isLgl w:val="false"/>
      <w:suff w:val="tab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14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5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5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5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Theme="minorEastAsia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1"/>
    <w:link w:val="70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11"/>
    <w:link w:val="70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11"/>
    <w:link w:val="70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11"/>
    <w:link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11"/>
    <w:link w:val="70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11"/>
    <w:link w:val="70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11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11"/>
    <w:link w:val="70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11"/>
    <w:link w:val="710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11"/>
    <w:link w:val="736"/>
    <w:uiPriority w:val="10"/>
    <w:rPr>
      <w:sz w:val="48"/>
      <w:szCs w:val="48"/>
    </w:rPr>
  </w:style>
  <w:style w:type="character" w:styleId="37">
    <w:name w:val="Subtitle Char"/>
    <w:basedOn w:val="711"/>
    <w:link w:val="739"/>
    <w:uiPriority w:val="11"/>
    <w:rPr>
      <w:sz w:val="24"/>
      <w:szCs w:val="24"/>
    </w:rPr>
  </w:style>
  <w:style w:type="character" w:styleId="39">
    <w:name w:val="Quote Char"/>
    <w:link w:val="743"/>
    <w:uiPriority w:val="29"/>
    <w:rPr>
      <w:i/>
    </w:rPr>
  </w:style>
  <w:style w:type="character" w:styleId="41">
    <w:name w:val="Intense Quote Char"/>
    <w:link w:val="748"/>
    <w:uiPriority w:val="30"/>
    <w:rPr>
      <w:i/>
    </w:rPr>
  </w:style>
  <w:style w:type="character" w:styleId="43">
    <w:name w:val="Header Char"/>
    <w:basedOn w:val="711"/>
    <w:link w:val="725"/>
    <w:uiPriority w:val="99"/>
  </w:style>
  <w:style w:type="character" w:styleId="45">
    <w:name w:val="Footer Char"/>
    <w:basedOn w:val="711"/>
    <w:link w:val="737"/>
    <w:uiPriority w:val="99"/>
  </w:style>
  <w:style w:type="character" w:styleId="47">
    <w:name w:val="Caption Char"/>
    <w:basedOn w:val="720"/>
    <w:link w:val="737"/>
    <w:uiPriority w:val="99"/>
  </w:style>
  <w:style w:type="table" w:styleId="49">
    <w:name w:val="Table Grid Light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paragraph" w:styleId="178">
    <w:name w:val="endnote text"/>
    <w:basedOn w:val="70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paragraph" w:styleId="191">
    <w:name w:val="table of figures"/>
    <w:basedOn w:val="701"/>
    <w:next w:val="701"/>
    <w:uiPriority w:val="99"/>
    <w:unhideWhenUsed/>
    <w:pPr>
      <w:spacing w:after="0" w:afterAutospacing="0"/>
    </w:pPr>
  </w:style>
  <w:style w:type="paragraph" w:styleId="701" w:default="1">
    <w:name w:val="Normal"/>
    <w:uiPriority w:val="0"/>
    <w:qFormat/>
    <w:pPr>
      <w:ind w:left="0" w:right="0" w:firstLine="0"/>
      <w:jc w:val="left"/>
      <w:spacing w:before="0" w:after="200" w:line="276" w:lineRule="auto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702">
    <w:name w:val="Heading 1"/>
    <w:basedOn w:val="701"/>
    <w:next w:val="701"/>
    <w:uiPriority w:val="9"/>
    <w:qFormat/>
    <w:pPr>
      <w:keepLines/>
      <w:keepNext/>
      <w:spacing w:before="480" w:after="0"/>
      <w:outlineLvl w:val="0"/>
    </w:pPr>
    <w:rPr>
      <w:b/>
      <w:color w:val="548ab7"/>
      <w:sz w:val="28"/>
    </w:rPr>
  </w:style>
  <w:style w:type="paragraph" w:styleId="703">
    <w:name w:val="Heading 2"/>
    <w:basedOn w:val="701"/>
    <w:next w:val="701"/>
    <w:uiPriority w:val="9"/>
    <w:qFormat/>
    <w:pPr>
      <w:keepLines/>
      <w:keepNext/>
      <w:spacing w:before="200" w:after="0"/>
      <w:outlineLvl w:val="1"/>
    </w:pPr>
    <w:rPr>
      <w:b/>
      <w:color w:val="94b6d2"/>
      <w:sz w:val="26"/>
    </w:rPr>
  </w:style>
  <w:style w:type="paragraph" w:styleId="704">
    <w:name w:val="Heading 3"/>
    <w:basedOn w:val="701"/>
    <w:next w:val="701"/>
    <w:uiPriority w:val="9"/>
    <w:qFormat/>
    <w:pPr>
      <w:keepLines/>
      <w:keepNext/>
      <w:spacing w:before="200" w:after="0"/>
      <w:outlineLvl w:val="2"/>
    </w:pPr>
    <w:rPr>
      <w:b/>
      <w:color w:val="94b6d2"/>
      <w:sz w:val="20"/>
    </w:rPr>
  </w:style>
  <w:style w:type="paragraph" w:styleId="705">
    <w:name w:val="Heading 4"/>
    <w:basedOn w:val="701"/>
    <w:next w:val="701"/>
    <w:uiPriority w:val="9"/>
    <w:qFormat/>
    <w:pPr>
      <w:keepLines/>
      <w:keepNext/>
      <w:spacing w:before="200" w:after="0"/>
      <w:outlineLvl w:val="3"/>
    </w:pPr>
    <w:rPr>
      <w:b/>
      <w:i/>
      <w:color w:val="94b6d2"/>
      <w:sz w:val="20"/>
    </w:rPr>
  </w:style>
  <w:style w:type="paragraph" w:styleId="706">
    <w:name w:val="Heading 5"/>
    <w:basedOn w:val="701"/>
    <w:next w:val="701"/>
    <w:uiPriority w:val="9"/>
    <w:qFormat/>
    <w:pPr>
      <w:keepLines/>
      <w:keepNext/>
      <w:spacing w:before="200" w:after="0"/>
      <w:outlineLvl w:val="4"/>
    </w:pPr>
    <w:rPr>
      <w:color w:val="345c7d"/>
      <w:sz w:val="20"/>
    </w:rPr>
  </w:style>
  <w:style w:type="paragraph" w:styleId="707">
    <w:name w:val="Heading 6"/>
    <w:basedOn w:val="701"/>
    <w:next w:val="701"/>
    <w:uiPriority w:val="9"/>
    <w:qFormat/>
    <w:pPr>
      <w:keepLines/>
      <w:keepNext/>
      <w:spacing w:before="200" w:after="0"/>
      <w:outlineLvl w:val="5"/>
    </w:pPr>
    <w:rPr>
      <w:i/>
      <w:color w:val="345c7d"/>
      <w:sz w:val="20"/>
    </w:rPr>
  </w:style>
  <w:style w:type="paragraph" w:styleId="708">
    <w:name w:val="Heading 7"/>
    <w:basedOn w:val="701"/>
    <w:next w:val="701"/>
    <w:uiPriority w:val="9"/>
    <w:qFormat/>
    <w:pPr>
      <w:keepLines/>
      <w:keepNext/>
      <w:spacing w:before="200" w:after="0"/>
      <w:outlineLvl w:val="6"/>
    </w:pPr>
    <w:rPr>
      <w:i/>
      <w:color w:val="404040"/>
      <w:sz w:val="20"/>
    </w:rPr>
  </w:style>
  <w:style w:type="paragraph" w:styleId="709">
    <w:name w:val="Heading 8"/>
    <w:basedOn w:val="701"/>
    <w:next w:val="701"/>
    <w:uiPriority w:val="9"/>
    <w:qFormat/>
    <w:pPr>
      <w:keepLines/>
      <w:keepNext/>
      <w:spacing w:before="200" w:after="0"/>
      <w:outlineLvl w:val="7"/>
    </w:pPr>
    <w:rPr>
      <w:color w:val="94b6d2"/>
      <w:sz w:val="20"/>
    </w:rPr>
  </w:style>
  <w:style w:type="paragraph" w:styleId="710">
    <w:name w:val="Heading 9"/>
    <w:basedOn w:val="701"/>
    <w:next w:val="701"/>
    <w:uiPriority w:val="9"/>
    <w:qFormat/>
    <w:pPr>
      <w:keepLines/>
      <w:keepNext/>
      <w:spacing w:before="200" w:after="0"/>
      <w:outlineLvl w:val="8"/>
    </w:pPr>
    <w:rPr>
      <w:i/>
      <w:color w:val="404040"/>
      <w:sz w:val="20"/>
    </w:rPr>
  </w:style>
  <w:style w:type="character" w:styleId="711" w:default="1">
    <w:name w:val="Default Paragraph Font"/>
    <w:uiPriority w:val="0"/>
    <w:qFormat/>
  </w:style>
  <w:style w:type="table" w:styleId="712" w:default="1">
    <w:name w:val="Normal Table"/>
    <w:uiPriority w:val="0"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713">
    <w:name w:val="footnote reference"/>
    <w:uiPriority w:val="0"/>
    <w:qFormat/>
    <w:rPr>
      <w:vertAlign w:val="superscript"/>
    </w:rPr>
  </w:style>
  <w:style w:type="character" w:styleId="714">
    <w:name w:val="annotation reference"/>
    <w:uiPriority w:val="0"/>
    <w:qFormat/>
    <w:rPr>
      <w:sz w:val="16"/>
    </w:rPr>
  </w:style>
  <w:style w:type="character" w:styleId="715">
    <w:name w:val="endnote reference"/>
    <w:uiPriority w:val="0"/>
    <w:qFormat/>
    <w:rPr>
      <w:vertAlign w:val="superscript"/>
    </w:rPr>
  </w:style>
  <w:style w:type="character" w:styleId="716">
    <w:name w:val="Emphasis"/>
    <w:uiPriority w:val="0"/>
    <w:qFormat/>
    <w:rPr>
      <w:i/>
    </w:rPr>
  </w:style>
  <w:style w:type="character" w:styleId="717">
    <w:name w:val="Hyperlink"/>
    <w:uiPriority w:val="0"/>
    <w:qFormat/>
    <w:rPr>
      <w:color w:val="0000ff"/>
      <w:u w:val="single"/>
    </w:rPr>
  </w:style>
  <w:style w:type="character" w:styleId="718">
    <w:name w:val="Strong"/>
    <w:uiPriority w:val="0"/>
    <w:qFormat/>
    <w:rPr>
      <w:b/>
    </w:rPr>
  </w:style>
  <w:style w:type="paragraph" w:styleId="719">
    <w:name w:val="Balloon Text"/>
    <w:basedOn w:val="701"/>
    <w:uiPriority w:val="0"/>
    <w:qFormat/>
    <w:pPr>
      <w:spacing w:after="0" w:line="240" w:lineRule="auto"/>
    </w:pPr>
    <w:rPr>
      <w:rFonts w:ascii="Tahoma" w:hAnsi="Tahoma"/>
      <w:sz w:val="16"/>
    </w:rPr>
  </w:style>
  <w:style w:type="paragraph" w:styleId="720">
    <w:name w:val="Caption"/>
    <w:basedOn w:val="701"/>
    <w:next w:val="701"/>
    <w:uiPriority w:val="0"/>
    <w:qFormat/>
    <w:pPr>
      <w:spacing w:line="240" w:lineRule="auto"/>
    </w:pPr>
    <w:rPr>
      <w:b/>
      <w:color w:val="94b6d2"/>
      <w:sz w:val="18"/>
    </w:rPr>
  </w:style>
  <w:style w:type="paragraph" w:styleId="721">
    <w:name w:val="annotation text"/>
    <w:basedOn w:val="701"/>
    <w:uiPriority w:val="0"/>
    <w:qFormat/>
    <w:pPr>
      <w:spacing w:line="240" w:lineRule="auto"/>
    </w:pPr>
    <w:rPr>
      <w:sz w:val="20"/>
    </w:rPr>
  </w:style>
  <w:style w:type="paragraph" w:styleId="722">
    <w:name w:val="annotation subject"/>
    <w:basedOn w:val="721"/>
    <w:next w:val="721"/>
    <w:uiPriority w:val="0"/>
    <w:qFormat/>
    <w:rPr>
      <w:b/>
    </w:rPr>
  </w:style>
  <w:style w:type="paragraph" w:styleId="723">
    <w:name w:val="Document Map"/>
    <w:basedOn w:val="701"/>
    <w:uiPriority w:val="0"/>
    <w:qFormat/>
    <w:pPr>
      <w:spacing w:after="0" w:line="240" w:lineRule="auto"/>
    </w:pPr>
    <w:rPr>
      <w:rFonts w:ascii="Tahoma" w:hAnsi="Tahoma"/>
      <w:sz w:val="16"/>
    </w:rPr>
  </w:style>
  <w:style w:type="paragraph" w:styleId="724">
    <w:name w:val="toc 8"/>
    <w:next w:val="701"/>
    <w:uiPriority w:val="39"/>
    <w:qFormat/>
    <w:pPr>
      <w:ind w:left="14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25">
    <w:name w:val="Header"/>
    <w:basedOn w:val="701"/>
    <w:uiPriority w:val="0"/>
    <w:qFormat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</w:rPr>
  </w:style>
  <w:style w:type="paragraph" w:styleId="726">
    <w:name w:val="toc 9"/>
    <w:next w:val="701"/>
    <w:uiPriority w:val="39"/>
    <w:qFormat/>
    <w:pPr>
      <w:ind w:left="16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27">
    <w:name w:val="toc 7"/>
    <w:next w:val="701"/>
    <w:uiPriority w:val="39"/>
    <w:qFormat/>
    <w:pPr>
      <w:ind w:left="12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28">
    <w:name w:val="Body Text"/>
    <w:basedOn w:val="701"/>
    <w:uiPriority w:val="0"/>
    <w:qFormat/>
    <w:pPr>
      <w:spacing w:after="120"/>
    </w:pPr>
  </w:style>
  <w:style w:type="paragraph" w:styleId="729">
    <w:name w:val="toc 1"/>
    <w:basedOn w:val="701"/>
    <w:next w:val="701"/>
    <w:uiPriority w:val="39"/>
    <w:qFormat/>
    <w:pPr>
      <w:keepLines/>
      <w:spacing w:after="0" w:line="240" w:lineRule="auto"/>
      <w:widowControl w:val="off"/>
      <w:tabs>
        <w:tab w:val="left" w:pos="142" w:leader="none"/>
        <w:tab w:val="left" w:pos="9639" w:leader="dot"/>
      </w:tabs>
    </w:pPr>
    <w:rPr>
      <w:rFonts w:ascii="Times New Roman" w:hAnsi="Times New Roman"/>
      <w:caps/>
      <w:sz w:val="24"/>
    </w:rPr>
  </w:style>
  <w:style w:type="paragraph" w:styleId="730">
    <w:name w:val="toc 6"/>
    <w:next w:val="701"/>
    <w:uiPriority w:val="39"/>
    <w:qFormat/>
    <w:pPr>
      <w:ind w:left="10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31">
    <w:name w:val="toc 3"/>
    <w:basedOn w:val="701"/>
    <w:next w:val="701"/>
    <w:uiPriority w:val="39"/>
    <w:qFormat/>
    <w:pPr>
      <w:ind w:left="440" w:firstLine="0"/>
    </w:pPr>
    <w:rPr>
      <w:rFonts w:ascii="Times New Roman" w:hAnsi="Times New Roman"/>
      <w:sz w:val="24"/>
    </w:rPr>
  </w:style>
  <w:style w:type="paragraph" w:styleId="732">
    <w:name w:val="toc 2"/>
    <w:next w:val="701"/>
    <w:uiPriority w:val="39"/>
    <w:qFormat/>
    <w:pPr>
      <w:ind w:left="20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paragraph" w:styleId="733">
    <w:name w:val="toc 4"/>
    <w:next w:val="701"/>
    <w:uiPriority w:val="39"/>
    <w:qFormat/>
    <w:pPr>
      <w:ind w:left="6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34">
    <w:name w:val="toc 5"/>
    <w:next w:val="701"/>
    <w:uiPriority w:val="39"/>
    <w:qFormat/>
    <w:pPr>
      <w:ind w:left="800" w:right="0" w:firstLine="0"/>
      <w:jc w:val="left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735">
    <w:name w:val="Body Text Indent"/>
    <w:basedOn w:val="701"/>
    <w:uiPriority w:val="0"/>
    <w:qFormat/>
    <w:pPr>
      <w:ind w:left="283" w:firstLine="0"/>
      <w:spacing w:after="120" w:line="240" w:lineRule="auto"/>
    </w:pPr>
    <w:rPr>
      <w:rFonts w:ascii="Times New Roman" w:hAnsi="Times New Roman"/>
      <w:sz w:val="24"/>
    </w:rPr>
  </w:style>
  <w:style w:type="paragraph" w:styleId="736">
    <w:name w:val="Title"/>
    <w:next w:val="701"/>
    <w:uiPriority w:val="10"/>
    <w:qFormat/>
    <w:pPr>
      <w:ind w:left="0" w:right="0" w:firstLine="0"/>
      <w:jc w:val="center"/>
      <w:spacing w:before="567" w:after="567" w:line="240" w:lineRule="auto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737">
    <w:name w:val="Footer"/>
    <w:basedOn w:val="701"/>
    <w:uiPriority w:val="0"/>
    <w:qFormat/>
    <w:pPr>
      <w:spacing w:before="60"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</w:rPr>
  </w:style>
  <w:style w:type="paragraph" w:styleId="738">
    <w:name w:val="Normal (Web)"/>
    <w:basedOn w:val="701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739">
    <w:name w:val="Subtitle"/>
    <w:basedOn w:val="701"/>
    <w:next w:val="701"/>
    <w:uiPriority w:val="11"/>
    <w:qFormat/>
    <w:rPr>
      <w:i/>
      <w:color w:val="94b6d2"/>
      <w:spacing w:val="15"/>
      <w:sz w:val="24"/>
    </w:rPr>
  </w:style>
  <w:style w:type="table" w:styleId="740">
    <w:name w:val="Table Grid"/>
    <w:basedOn w:val="712"/>
    <w:uiPriority w:val="0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41" w:customStyle="1">
    <w:name w:val="Style5"/>
    <w:basedOn w:val="701"/>
    <w:link w:val="742"/>
    <w:uiPriority w:val="0"/>
    <w:qFormat/>
    <w:pPr>
      <w:ind w:left="0" w:firstLine="713"/>
      <w:jc w:val="both"/>
      <w:spacing w:after="0" w:line="328" w:lineRule="exact"/>
      <w:widowControl w:val="off"/>
    </w:pPr>
    <w:rPr>
      <w:rFonts w:ascii="Times New Roman" w:hAnsi="Times New Roman"/>
      <w:sz w:val="24"/>
    </w:rPr>
  </w:style>
  <w:style w:type="character" w:styleId="742" w:customStyle="1">
    <w:name w:val="Style51"/>
    <w:link w:val="741"/>
    <w:uiPriority w:val="0"/>
    <w:qFormat/>
    <w:rPr>
      <w:rFonts w:ascii="Times New Roman" w:hAnsi="Times New Roman"/>
      <w:sz w:val="24"/>
    </w:rPr>
  </w:style>
  <w:style w:type="paragraph" w:styleId="743">
    <w:name w:val="Quote"/>
    <w:basedOn w:val="701"/>
    <w:next w:val="701"/>
    <w:uiPriority w:val="0"/>
    <w:qFormat/>
    <w:rPr>
      <w:i/>
      <w:color w:val="000000"/>
      <w:sz w:val="20"/>
    </w:rPr>
  </w:style>
  <w:style w:type="paragraph" w:styleId="744" w:customStyle="1">
    <w:name w:val="Style58"/>
    <w:basedOn w:val="701"/>
    <w:link w:val="745"/>
    <w:uiPriority w:val="0"/>
    <w:qFormat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745" w:customStyle="1">
    <w:name w:val="Style581"/>
    <w:link w:val="744"/>
    <w:uiPriority w:val="0"/>
    <w:qFormat/>
    <w:rPr>
      <w:rFonts w:ascii="Times New Roman" w:hAnsi="Times New Roman"/>
      <w:sz w:val="24"/>
    </w:rPr>
  </w:style>
  <w:style w:type="paragraph" w:styleId="746" w:customStyle="1">
    <w:name w:val="Endnote"/>
    <w:basedOn w:val="701"/>
    <w:link w:val="747"/>
    <w:uiPriority w:val="0"/>
    <w:qFormat/>
    <w:pPr>
      <w:spacing w:after="0" w:line="240" w:lineRule="auto"/>
    </w:pPr>
    <w:rPr>
      <w:sz w:val="20"/>
    </w:rPr>
  </w:style>
  <w:style w:type="character" w:styleId="747" w:customStyle="1">
    <w:name w:val="Endnote1"/>
    <w:link w:val="746"/>
    <w:uiPriority w:val="0"/>
    <w:qFormat/>
    <w:rPr>
      <w:sz w:val="20"/>
    </w:rPr>
  </w:style>
  <w:style w:type="paragraph" w:styleId="748">
    <w:name w:val="Intense Quote"/>
    <w:basedOn w:val="701"/>
    <w:next w:val="701"/>
    <w:uiPriority w:val="0"/>
    <w:qFormat/>
    <w:pPr>
      <w:ind w:left="936" w:right="936" w:firstLine="0"/>
      <w:spacing w:before="200" w:after="280"/>
    </w:pPr>
    <w:rPr>
      <w:b/>
      <w:i/>
      <w:color w:val="94b6d2"/>
      <w:sz w:val="20"/>
    </w:rPr>
  </w:style>
  <w:style w:type="paragraph" w:styleId="749">
    <w:name w:val="No Spacing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750" w:customStyle="1">
    <w:name w:val="Заголовок №74"/>
    <w:link w:val="75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751" w:customStyle="1">
    <w:name w:val="Заголовок №741"/>
    <w:link w:val="750"/>
    <w:uiPriority w:val="0"/>
    <w:qFormat/>
    <w:rPr>
      <w:rFonts w:ascii="Times New Roman" w:hAnsi="Times New Roman"/>
      <w:b/>
      <w:sz w:val="27"/>
      <w:highlight w:val="white"/>
    </w:rPr>
  </w:style>
  <w:style w:type="paragraph" w:styleId="752" w:customStyle="1">
    <w:name w:val="Font Style13"/>
    <w:link w:val="753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753" w:customStyle="1">
    <w:name w:val="Font Style131"/>
    <w:link w:val="752"/>
    <w:uiPriority w:val="0"/>
    <w:qFormat/>
    <w:rPr>
      <w:rFonts w:ascii="Times New Roman" w:hAnsi="Times New Roman"/>
      <w:sz w:val="26"/>
    </w:rPr>
  </w:style>
  <w:style w:type="paragraph" w:styleId="754" w:customStyle="1">
    <w:name w:val="Font Style73"/>
    <w:link w:val="75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2"/>
    </w:rPr>
  </w:style>
  <w:style w:type="character" w:styleId="755" w:customStyle="1">
    <w:name w:val="Font Style731"/>
    <w:link w:val="754"/>
    <w:uiPriority w:val="0"/>
    <w:qFormat/>
    <w:rPr>
      <w:rFonts w:ascii="Times New Roman" w:hAnsi="Times New Roman"/>
      <w:b/>
      <w:sz w:val="22"/>
    </w:rPr>
  </w:style>
  <w:style w:type="paragraph" w:styleId="756" w:customStyle="1">
    <w:name w:val="Table Paragraph"/>
    <w:basedOn w:val="701"/>
    <w:link w:val="757"/>
    <w:uiPriority w:val="0"/>
    <w:qFormat/>
    <w:pPr>
      <w:spacing w:after="0" w:line="240" w:lineRule="auto"/>
      <w:widowControl w:val="off"/>
    </w:pPr>
    <w:rPr>
      <w:rFonts w:ascii="Times New Roman" w:hAnsi="Times New Roman"/>
    </w:rPr>
  </w:style>
  <w:style w:type="character" w:styleId="757" w:customStyle="1">
    <w:name w:val="Table Paragraph1"/>
    <w:link w:val="756"/>
    <w:uiPriority w:val="0"/>
    <w:qFormat/>
    <w:rPr>
      <w:rFonts w:ascii="Times New Roman" w:hAnsi="Times New Roman"/>
    </w:rPr>
  </w:style>
  <w:style w:type="paragraph" w:styleId="758" w:customStyle="1">
    <w:name w:val="Style64"/>
    <w:basedOn w:val="701"/>
    <w:link w:val="759"/>
    <w:uiPriority w:val="0"/>
    <w:qFormat/>
    <w:pPr>
      <w:spacing w:after="0" w:line="331" w:lineRule="exact"/>
      <w:widowControl w:val="off"/>
    </w:pPr>
    <w:rPr>
      <w:rFonts w:ascii="Times New Roman" w:hAnsi="Times New Roman"/>
      <w:sz w:val="24"/>
    </w:rPr>
  </w:style>
  <w:style w:type="character" w:styleId="759" w:customStyle="1">
    <w:name w:val="Style641"/>
    <w:link w:val="758"/>
    <w:uiPriority w:val="0"/>
    <w:qFormat/>
    <w:rPr>
      <w:rFonts w:ascii="Times New Roman" w:hAnsi="Times New Roman"/>
      <w:sz w:val="24"/>
    </w:rPr>
  </w:style>
  <w:style w:type="paragraph" w:styleId="760" w:customStyle="1">
    <w:name w:val="Основной текст (6)3"/>
    <w:link w:val="761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styleId="761" w:customStyle="1">
    <w:name w:val="Основной текст (6)31"/>
    <w:link w:val="760"/>
    <w:uiPriority w:val="0"/>
    <w:qFormat/>
    <w:rPr>
      <w:rFonts w:ascii="Times New Roman" w:hAnsi="Times New Roman"/>
      <w:highlight w:val="white"/>
    </w:rPr>
  </w:style>
  <w:style w:type="paragraph" w:styleId="762" w:customStyle="1">
    <w:name w:val="Заголовок №71"/>
    <w:basedOn w:val="701"/>
    <w:link w:val="763"/>
    <w:uiPriority w:val="0"/>
    <w:qFormat/>
    <w:pPr>
      <w:spacing w:after="0" w:line="482" w:lineRule="exact"/>
      <w:outlineLvl w:val="6"/>
    </w:pPr>
    <w:rPr>
      <w:rFonts w:ascii="Times New Roman" w:hAnsi="Times New Roman"/>
      <w:b/>
      <w:sz w:val="27"/>
    </w:rPr>
  </w:style>
  <w:style w:type="character" w:styleId="763" w:customStyle="1">
    <w:name w:val="Заголовок №711"/>
    <w:link w:val="762"/>
    <w:uiPriority w:val="0"/>
    <w:qFormat/>
    <w:rPr>
      <w:rFonts w:ascii="Times New Roman" w:hAnsi="Times New Roman"/>
      <w:b/>
      <w:sz w:val="27"/>
    </w:rPr>
  </w:style>
  <w:style w:type="paragraph" w:styleId="764" w:customStyle="1">
    <w:name w:val="Font Style77"/>
    <w:link w:val="765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styleId="765" w:customStyle="1">
    <w:name w:val="Font Style771"/>
    <w:link w:val="764"/>
    <w:uiPriority w:val="0"/>
    <w:qFormat/>
    <w:rPr>
      <w:rFonts w:ascii="Times New Roman" w:hAnsi="Times New Roman"/>
      <w:sz w:val="22"/>
    </w:rPr>
  </w:style>
  <w:style w:type="paragraph" w:styleId="766" w:customStyle="1">
    <w:name w:val="Заголовок №72"/>
    <w:link w:val="767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single"/>
    </w:rPr>
  </w:style>
  <w:style w:type="character" w:styleId="767" w:customStyle="1">
    <w:name w:val="Заголовок №721"/>
    <w:link w:val="766"/>
    <w:uiPriority w:val="0"/>
    <w:qFormat/>
    <w:rPr>
      <w:rFonts w:ascii="Times New Roman" w:hAnsi="Times New Roman"/>
      <w:b/>
      <w:sz w:val="27"/>
      <w:highlight w:val="white"/>
      <w:u w:val="single"/>
    </w:rPr>
  </w:style>
  <w:style w:type="paragraph" w:styleId="768" w:customStyle="1">
    <w:name w:val="WW-Базовый"/>
    <w:link w:val="769"/>
    <w:uiPriority w:val="0"/>
    <w:qFormat/>
    <w:pPr>
      <w:ind w:left="0" w:right="0" w:firstLine="0"/>
      <w:jc w:val="left"/>
      <w:spacing w:before="0" w:after="0" w:line="100" w:lineRule="atLeas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769" w:customStyle="1">
    <w:name w:val="WW-Базовый1"/>
    <w:link w:val="768"/>
    <w:uiPriority w:val="0"/>
    <w:qFormat/>
    <w:rPr>
      <w:rFonts w:ascii="Times New Roman" w:hAnsi="Times New Roman"/>
      <w:color w:val="000000"/>
      <w:sz w:val="24"/>
    </w:rPr>
  </w:style>
  <w:style w:type="paragraph" w:styleId="770">
    <w:name w:val="List Paragraph"/>
    <w:basedOn w:val="701"/>
    <w:uiPriority w:val="0"/>
    <w:qFormat/>
    <w:pPr>
      <w:contextualSpacing/>
      <w:ind w:left="720" w:firstLine="0"/>
    </w:pPr>
  </w:style>
  <w:style w:type="paragraph" w:styleId="771" w:customStyle="1">
    <w:name w:val="Subtle Reference"/>
    <w:link w:val="772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smallCaps/>
      <w:color w:val="dd8047"/>
      <w:spacing w:val="0"/>
      <w:sz w:val="20"/>
      <w:u w:val="single"/>
    </w:rPr>
  </w:style>
  <w:style w:type="character" w:styleId="772" w:customStyle="1">
    <w:name w:val="Subtle Reference1"/>
    <w:link w:val="771"/>
    <w:uiPriority w:val="0"/>
    <w:qFormat/>
    <w:rPr>
      <w:smallCaps/>
      <w:color w:val="dd8047"/>
      <w:u w:val="single"/>
    </w:rPr>
  </w:style>
  <w:style w:type="paragraph" w:styleId="773" w:customStyle="1">
    <w:name w:val="Основной текст + Курсив2"/>
    <w:link w:val="77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7"/>
      <w:highlight w:val="white"/>
    </w:rPr>
  </w:style>
  <w:style w:type="character" w:styleId="774" w:customStyle="1">
    <w:name w:val="Основной текст + Курсив21"/>
    <w:link w:val="773"/>
    <w:uiPriority w:val="0"/>
    <w:qFormat/>
    <w:rPr>
      <w:rFonts w:ascii="Times New Roman" w:hAnsi="Times New Roman"/>
      <w:i/>
      <w:sz w:val="27"/>
      <w:highlight w:val="white"/>
    </w:rPr>
  </w:style>
  <w:style w:type="paragraph" w:styleId="775" w:customStyle="1">
    <w:name w:val="Основной текст (5) + Курсив"/>
    <w:link w:val="77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styleId="776" w:customStyle="1">
    <w:name w:val="Основной текст (5) + Курсив1"/>
    <w:link w:val="775"/>
    <w:uiPriority w:val="0"/>
    <w:qFormat/>
    <w:rPr>
      <w:rFonts w:ascii="Times New Roman" w:hAnsi="Times New Roman"/>
      <w:i/>
      <w:highlight w:val="white"/>
    </w:rPr>
  </w:style>
  <w:style w:type="paragraph" w:styleId="777" w:customStyle="1">
    <w:name w:val="Subtle Emphasis"/>
    <w:link w:val="778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i/>
      <w:color w:val="808080"/>
      <w:spacing w:val="0"/>
      <w:sz w:val="20"/>
    </w:rPr>
  </w:style>
  <w:style w:type="character" w:styleId="778" w:customStyle="1">
    <w:name w:val="Subtle Emphasis1"/>
    <w:link w:val="777"/>
    <w:uiPriority w:val="0"/>
    <w:qFormat/>
    <w:rPr>
      <w:i/>
      <w:color w:val="808080"/>
    </w:rPr>
  </w:style>
  <w:style w:type="paragraph" w:styleId="779" w:customStyle="1">
    <w:name w:val="Основной текст (5)"/>
    <w:basedOn w:val="701"/>
    <w:link w:val="780"/>
    <w:uiPriority w:val="0"/>
    <w:qFormat/>
    <w:pPr>
      <w:spacing w:after="0" w:line="240" w:lineRule="atLeast"/>
    </w:pPr>
    <w:rPr>
      <w:rFonts w:ascii="Times New Roman" w:hAnsi="Times New Roman"/>
      <w:sz w:val="20"/>
    </w:rPr>
  </w:style>
  <w:style w:type="character" w:styleId="780" w:customStyle="1">
    <w:name w:val="Основной текст (5)1"/>
    <w:link w:val="779"/>
    <w:uiPriority w:val="0"/>
    <w:qFormat/>
    <w:rPr>
      <w:rFonts w:ascii="Times New Roman" w:hAnsi="Times New Roman"/>
      <w:sz w:val="20"/>
    </w:rPr>
  </w:style>
  <w:style w:type="paragraph" w:styleId="781" w:customStyle="1">
    <w:name w:val="Font Style76"/>
    <w:link w:val="78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styleId="782" w:customStyle="1">
    <w:name w:val="Font Style761"/>
    <w:link w:val="781"/>
    <w:uiPriority w:val="0"/>
    <w:qFormat/>
    <w:rPr>
      <w:rFonts w:ascii="Times New Roman" w:hAnsi="Times New Roman"/>
      <w:sz w:val="26"/>
    </w:rPr>
  </w:style>
  <w:style w:type="paragraph" w:styleId="783" w:customStyle="1">
    <w:name w:val="Footnote"/>
    <w:basedOn w:val="701"/>
    <w:link w:val="784"/>
    <w:uiPriority w:val="0"/>
    <w:qFormat/>
    <w:pPr>
      <w:spacing w:after="0" w:line="240" w:lineRule="auto"/>
    </w:pPr>
    <w:rPr>
      <w:sz w:val="20"/>
    </w:rPr>
  </w:style>
  <w:style w:type="character" w:styleId="784" w:customStyle="1">
    <w:name w:val="Footnote1"/>
    <w:link w:val="783"/>
    <w:uiPriority w:val="0"/>
    <w:qFormat/>
    <w:rPr>
      <w:sz w:val="20"/>
    </w:rPr>
  </w:style>
  <w:style w:type="paragraph" w:styleId="785" w:customStyle="1">
    <w:name w:val="Intense Reference"/>
    <w:link w:val="786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smallCaps/>
      <w:color w:val="dd8047"/>
      <w:spacing w:val="5"/>
      <w:sz w:val="20"/>
      <w:u w:val="single"/>
    </w:rPr>
  </w:style>
  <w:style w:type="character" w:styleId="786" w:customStyle="1">
    <w:name w:val="Intense Reference1"/>
    <w:link w:val="785"/>
    <w:uiPriority w:val="0"/>
    <w:qFormat/>
    <w:rPr>
      <w:b/>
      <w:smallCaps/>
      <w:color w:val="dd8047"/>
      <w:spacing w:val="5"/>
      <w:u w:val="single"/>
    </w:rPr>
  </w:style>
  <w:style w:type="paragraph" w:styleId="787" w:customStyle="1">
    <w:name w:val="Header and Footer"/>
    <w:link w:val="788"/>
    <w:uiPriority w:val="0"/>
    <w:qFormat/>
    <w:pPr>
      <w:ind w:left="0" w:right="0" w:firstLine="0"/>
      <w:jc w:val="both"/>
      <w:spacing w:before="0" w:after="0" w:line="240" w:lineRule="auto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styleId="788" w:customStyle="1">
    <w:name w:val="Header and Footer1"/>
    <w:link w:val="787"/>
    <w:uiPriority w:val="0"/>
    <w:qFormat/>
    <w:rPr>
      <w:rFonts w:ascii="XO Thames" w:hAnsi="XO Thames"/>
      <w:sz w:val="20"/>
    </w:rPr>
  </w:style>
  <w:style w:type="paragraph" w:styleId="789" w:customStyle="1">
    <w:name w:val="Заголовок №73"/>
    <w:link w:val="79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styleId="790" w:customStyle="1">
    <w:name w:val="Заголовок №731"/>
    <w:link w:val="789"/>
    <w:uiPriority w:val="0"/>
    <w:qFormat/>
    <w:rPr>
      <w:rFonts w:ascii="Times New Roman" w:hAnsi="Times New Roman"/>
      <w:b/>
      <w:sz w:val="27"/>
      <w:highlight w:val="white"/>
    </w:rPr>
  </w:style>
  <w:style w:type="paragraph" w:styleId="791" w:customStyle="1">
    <w:name w:val="Стиль1"/>
    <w:basedOn w:val="701"/>
    <w:link w:val="792"/>
    <w:uiPriority w:val="0"/>
    <w:qFormat/>
    <w:pPr>
      <w:ind w:left="0" w:firstLine="720"/>
      <w:spacing w:before="120" w:after="0" w:line="240" w:lineRule="auto"/>
    </w:pPr>
    <w:rPr>
      <w:rFonts w:ascii="Arial" w:hAnsi="Arial"/>
      <w:sz w:val="24"/>
    </w:rPr>
  </w:style>
  <w:style w:type="character" w:styleId="792" w:customStyle="1">
    <w:name w:val="Стиль11"/>
    <w:link w:val="791"/>
    <w:uiPriority w:val="0"/>
    <w:qFormat/>
    <w:rPr>
      <w:rFonts w:ascii="Arial" w:hAnsi="Arial"/>
      <w:sz w:val="24"/>
    </w:rPr>
  </w:style>
  <w:style w:type="paragraph" w:styleId="793" w:customStyle="1">
    <w:name w:val="TOC Heading"/>
    <w:basedOn w:val="702"/>
    <w:next w:val="701"/>
    <w:link w:val="794"/>
    <w:uiPriority w:val="0"/>
    <w:qFormat/>
    <w:pPr>
      <w:outlineLvl w:val="8"/>
    </w:pPr>
  </w:style>
  <w:style w:type="character" w:styleId="794" w:customStyle="1">
    <w:name w:val="TOC Heading1"/>
    <w:link w:val="793"/>
    <w:uiPriority w:val="0"/>
    <w:qFormat/>
  </w:style>
  <w:style w:type="paragraph" w:styleId="795" w:customStyle="1">
    <w:name w:val="Основной текст (39)1"/>
    <w:basedOn w:val="701"/>
    <w:link w:val="796"/>
    <w:uiPriority w:val="0"/>
    <w:qFormat/>
    <w:pPr>
      <w:jc w:val="both"/>
      <w:spacing w:after="60" w:line="240" w:lineRule="atLeast"/>
    </w:pPr>
    <w:rPr>
      <w:rFonts w:ascii="Times New Roman" w:hAnsi="Times New Roman"/>
      <w:i/>
      <w:sz w:val="20"/>
    </w:rPr>
  </w:style>
  <w:style w:type="character" w:styleId="796" w:customStyle="1">
    <w:name w:val="Основной текст (39)11"/>
    <w:link w:val="795"/>
    <w:uiPriority w:val="0"/>
    <w:qFormat/>
    <w:rPr>
      <w:rFonts w:ascii="Times New Roman" w:hAnsi="Times New Roman"/>
      <w:i/>
      <w:sz w:val="20"/>
    </w:rPr>
  </w:style>
  <w:style w:type="paragraph" w:styleId="797" w:customStyle="1">
    <w:name w:val="Обычный1"/>
    <w:link w:val="798"/>
    <w:uiPriority w:val="0"/>
    <w:qFormat/>
    <w:pPr>
      <w:ind w:left="0" w:right="0" w:firstLine="567"/>
      <w:jc w:val="both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styleId="798" w:customStyle="1">
    <w:name w:val="Обычный11"/>
    <w:link w:val="797"/>
    <w:uiPriority w:val="0"/>
    <w:qFormat/>
    <w:rPr>
      <w:rFonts w:ascii="Times New Roman" w:hAnsi="Times New Roman"/>
      <w:sz w:val="28"/>
    </w:rPr>
  </w:style>
  <w:style w:type="paragraph" w:styleId="799" w:customStyle="1">
    <w:name w:val="Заголовок №51"/>
    <w:basedOn w:val="701"/>
    <w:link w:val="800"/>
    <w:uiPriority w:val="0"/>
    <w:qFormat/>
    <w:pPr>
      <w:jc w:val="both"/>
      <w:spacing w:before="540" w:after="0" w:line="298" w:lineRule="exact"/>
      <w:outlineLvl w:val="4"/>
    </w:pPr>
    <w:rPr>
      <w:rFonts w:ascii="Times New Roman" w:hAnsi="Times New Roman"/>
      <w:b/>
      <w:sz w:val="27"/>
    </w:rPr>
  </w:style>
  <w:style w:type="character" w:styleId="800" w:customStyle="1">
    <w:name w:val="Заголовок №511"/>
    <w:link w:val="799"/>
    <w:uiPriority w:val="0"/>
    <w:qFormat/>
    <w:rPr>
      <w:rFonts w:ascii="Times New Roman" w:hAnsi="Times New Roman"/>
      <w:b/>
      <w:sz w:val="27"/>
    </w:rPr>
  </w:style>
  <w:style w:type="paragraph" w:styleId="801" w:customStyle="1">
    <w:name w:val="Style13"/>
    <w:basedOn w:val="701"/>
    <w:link w:val="802"/>
    <w:uiPriority w:val="0"/>
    <w:qFormat/>
    <w:pPr>
      <w:jc w:val="center"/>
      <w:spacing w:after="0" w:line="335" w:lineRule="exact"/>
      <w:widowControl w:val="off"/>
    </w:pPr>
    <w:rPr>
      <w:rFonts w:ascii="Times New Roman" w:hAnsi="Times New Roman"/>
      <w:sz w:val="24"/>
    </w:rPr>
  </w:style>
  <w:style w:type="character" w:styleId="802" w:customStyle="1">
    <w:name w:val="Style131"/>
    <w:link w:val="801"/>
    <w:uiPriority w:val="0"/>
    <w:qFormat/>
    <w:rPr>
      <w:rFonts w:ascii="Times New Roman" w:hAnsi="Times New Roman"/>
      <w:sz w:val="24"/>
    </w:rPr>
  </w:style>
  <w:style w:type="paragraph" w:styleId="803" w:customStyle="1">
    <w:name w:val="Style8"/>
    <w:basedOn w:val="701"/>
    <w:link w:val="804"/>
    <w:uiPriority w:val="0"/>
    <w:qFormat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804" w:customStyle="1">
    <w:name w:val="Style81"/>
    <w:link w:val="803"/>
    <w:uiPriority w:val="0"/>
    <w:qFormat/>
    <w:rPr>
      <w:rFonts w:ascii="Times New Roman" w:hAnsi="Times New Roman"/>
      <w:sz w:val="24"/>
    </w:rPr>
  </w:style>
  <w:style w:type="paragraph" w:styleId="805" w:customStyle="1">
    <w:name w:val="Intense Emphasis"/>
    <w:link w:val="806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i/>
      <w:color w:val="94b6d2"/>
      <w:spacing w:val="0"/>
      <w:sz w:val="20"/>
    </w:rPr>
  </w:style>
  <w:style w:type="character" w:styleId="806" w:customStyle="1">
    <w:name w:val="Intense Emphasis1"/>
    <w:link w:val="805"/>
    <w:uiPriority w:val="0"/>
    <w:qFormat/>
    <w:rPr>
      <w:b/>
      <w:i/>
      <w:color w:val="94b6d2"/>
    </w:rPr>
  </w:style>
  <w:style w:type="paragraph" w:styleId="807" w:customStyle="1">
    <w:name w:val="Название1"/>
    <w:basedOn w:val="701"/>
    <w:next w:val="701"/>
    <w:link w:val="808"/>
    <w:uiPriority w:val="0"/>
    <w:qFormat/>
    <w:pPr>
      <w:contextualSpacing/>
      <w:spacing w:after="300" w:line="240" w:lineRule="auto"/>
    </w:pPr>
    <w:rPr>
      <w:color w:val="59473f"/>
      <w:spacing w:val="5"/>
      <w:sz w:val="52"/>
    </w:rPr>
  </w:style>
  <w:style w:type="character" w:styleId="808" w:customStyle="1">
    <w:name w:val="Название11"/>
    <w:link w:val="807"/>
    <w:uiPriority w:val="0"/>
    <w:qFormat/>
    <w:rPr>
      <w:color w:val="59473f"/>
      <w:spacing w:val="5"/>
      <w:sz w:val="52"/>
    </w:rPr>
  </w:style>
  <w:style w:type="paragraph" w:styleId="809" w:customStyle="1">
    <w:name w:val="Основной текст (18) + Не курсив"/>
    <w:link w:val="810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styleId="810" w:customStyle="1">
    <w:name w:val="Основной текст (18) + Не курсив1"/>
    <w:link w:val="809"/>
    <w:uiPriority w:val="0"/>
    <w:qFormat/>
    <w:rPr>
      <w:rFonts w:ascii="Times New Roman" w:hAnsi="Times New Roman"/>
      <w:highlight w:val="white"/>
    </w:rPr>
  </w:style>
  <w:style w:type="paragraph" w:styleId="811" w:customStyle="1">
    <w:name w:val="Font Style30"/>
    <w:link w:val="812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styleId="812" w:customStyle="1">
    <w:name w:val="Font Style301"/>
    <w:link w:val="811"/>
    <w:uiPriority w:val="0"/>
    <w:qFormat/>
    <w:rPr>
      <w:rFonts w:ascii="Times New Roman" w:hAnsi="Times New Roman"/>
      <w:b/>
      <w:sz w:val="26"/>
    </w:rPr>
  </w:style>
  <w:style w:type="paragraph" w:styleId="813" w:customStyle="1">
    <w:name w:val="Основной текст (39)"/>
    <w:link w:val="814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  <w:u w:val="single"/>
    </w:rPr>
  </w:style>
  <w:style w:type="character" w:styleId="814" w:customStyle="1">
    <w:name w:val="Основной текст (39)2"/>
    <w:link w:val="813"/>
    <w:uiPriority w:val="0"/>
    <w:qFormat/>
    <w:rPr>
      <w:rFonts w:ascii="Times New Roman" w:hAnsi="Times New Roman"/>
      <w:i/>
      <w:highlight w:val="white"/>
      <w:u w:val="single"/>
    </w:rPr>
  </w:style>
  <w:style w:type="paragraph" w:styleId="815" w:customStyle="1">
    <w:name w:val="Default"/>
    <w:link w:val="816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styleId="816" w:customStyle="1">
    <w:name w:val="Default1"/>
    <w:link w:val="815"/>
    <w:uiPriority w:val="0"/>
    <w:qFormat/>
    <w:rPr>
      <w:rFonts w:ascii="Times New Roman" w:hAnsi="Times New Roman"/>
      <w:color w:val="000000"/>
      <w:sz w:val="24"/>
    </w:rPr>
  </w:style>
  <w:style w:type="paragraph" w:styleId="817" w:customStyle="1">
    <w:name w:val="Font Style75"/>
    <w:link w:val="818"/>
    <w:uiPriority w:val="0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styleId="818" w:customStyle="1">
    <w:name w:val="Font Style751"/>
    <w:link w:val="817"/>
    <w:uiPriority w:val="0"/>
    <w:qFormat/>
    <w:rPr>
      <w:rFonts w:ascii="Times New Roman" w:hAnsi="Times New Roman"/>
      <w:b/>
      <w:sz w:val="26"/>
    </w:rPr>
  </w:style>
  <w:style w:type="paragraph" w:styleId="819" w:customStyle="1">
    <w:name w:val="Style31"/>
    <w:basedOn w:val="701"/>
    <w:link w:val="820"/>
    <w:uiPriority w:val="0"/>
    <w:qFormat/>
    <w:pPr>
      <w:ind w:left="0" w:firstLine="677"/>
      <w:jc w:val="both"/>
      <w:spacing w:after="0" w:line="326" w:lineRule="exact"/>
      <w:widowControl w:val="off"/>
    </w:pPr>
    <w:rPr>
      <w:rFonts w:ascii="Times New Roman" w:hAnsi="Times New Roman"/>
      <w:sz w:val="24"/>
    </w:rPr>
  </w:style>
  <w:style w:type="character" w:styleId="820" w:customStyle="1">
    <w:name w:val="Style311"/>
    <w:link w:val="819"/>
    <w:uiPriority w:val="0"/>
    <w:qFormat/>
    <w:rPr>
      <w:rFonts w:ascii="Times New Roman" w:hAnsi="Times New Roman"/>
      <w:sz w:val="24"/>
    </w:rPr>
  </w:style>
  <w:style w:type="paragraph" w:styleId="821" w:customStyle="1">
    <w:name w:val="Style45"/>
    <w:basedOn w:val="701"/>
    <w:link w:val="822"/>
    <w:uiPriority w:val="0"/>
    <w:qFormat/>
    <w:pPr>
      <w:spacing w:after="0" w:line="230" w:lineRule="exact"/>
      <w:widowControl w:val="off"/>
    </w:pPr>
    <w:rPr>
      <w:rFonts w:ascii="Times New Roman" w:hAnsi="Times New Roman"/>
      <w:sz w:val="24"/>
    </w:rPr>
  </w:style>
  <w:style w:type="character" w:styleId="822" w:customStyle="1">
    <w:name w:val="Style451"/>
    <w:link w:val="821"/>
    <w:uiPriority w:val="0"/>
    <w:qFormat/>
    <w:rPr>
      <w:rFonts w:ascii="Times New Roman" w:hAnsi="Times New Roman"/>
      <w:sz w:val="24"/>
    </w:rPr>
  </w:style>
  <w:style w:type="paragraph" w:styleId="823" w:customStyle="1">
    <w:name w:val="Book Title"/>
    <w:link w:val="824"/>
    <w:uiPriority w:val="0"/>
    <w:qFormat/>
    <w:pPr>
      <w:ind w:left="0" w:right="0" w:firstLine="0"/>
      <w:jc w:val="left"/>
      <w:spacing w:before="0" w:after="0" w:line="240" w:lineRule="auto"/>
    </w:pPr>
    <w:rPr>
      <w:rFonts w:ascii="Calibri" w:hAnsi="Calibri" w:eastAsiaTheme="minorEastAsia" w:cstheme="minorBidi"/>
      <w:b/>
      <w:smallCaps/>
      <w:color w:val="000000"/>
      <w:spacing w:val="5"/>
      <w:sz w:val="20"/>
    </w:rPr>
  </w:style>
  <w:style w:type="character" w:styleId="824" w:customStyle="1">
    <w:name w:val="Book Title1"/>
    <w:link w:val="823"/>
    <w:uiPriority w:val="0"/>
    <w:qFormat/>
    <w:rPr>
      <w:b/>
      <w:smallCaps/>
      <w:spacing w:val="5"/>
    </w:rPr>
  </w:style>
  <w:style w:type="paragraph" w:styleId="825" w:customStyle="1">
    <w:name w:val="Основной текст (18)"/>
    <w:basedOn w:val="701"/>
    <w:link w:val="826"/>
    <w:uiPriority w:val="0"/>
    <w:qFormat/>
    <w:pPr>
      <w:jc w:val="center"/>
      <w:spacing w:after="0" w:line="259" w:lineRule="exact"/>
    </w:pPr>
    <w:rPr>
      <w:rFonts w:ascii="Times New Roman" w:hAnsi="Times New Roman"/>
      <w:i/>
      <w:sz w:val="20"/>
    </w:rPr>
  </w:style>
  <w:style w:type="character" w:styleId="826" w:customStyle="1">
    <w:name w:val="Основной текст (18)1"/>
    <w:link w:val="825"/>
    <w:uiPriority w:val="0"/>
    <w:qFormat/>
    <w:rPr>
      <w:rFonts w:ascii="Times New Roman" w:hAnsi="Times New Roman"/>
      <w:i/>
      <w:sz w:val="20"/>
    </w:rPr>
  </w:style>
  <w:style w:type="paragraph" w:styleId="827" w:customStyle="1">
    <w:name w:val="Основной текст5"/>
    <w:basedOn w:val="701"/>
    <w:link w:val="828"/>
    <w:uiPriority w:val="0"/>
    <w:qFormat/>
    <w:pPr>
      <w:jc w:val="center"/>
      <w:spacing w:before="1680" w:after="6840" w:line="302" w:lineRule="exact"/>
    </w:pPr>
    <w:rPr>
      <w:rFonts w:ascii="Times New Roman" w:hAnsi="Times New Roman"/>
      <w:sz w:val="23"/>
    </w:rPr>
  </w:style>
  <w:style w:type="character" w:styleId="828" w:customStyle="1">
    <w:name w:val="Основной текст51"/>
    <w:link w:val="827"/>
    <w:uiPriority w:val="0"/>
    <w:qFormat/>
    <w:rPr>
      <w:rFonts w:ascii="Times New Roman" w:hAnsi="Times New Roman"/>
      <w:sz w:val="23"/>
    </w:rPr>
  </w:style>
  <w:style w:type="table" w:styleId="829" w:customStyle="1">
    <w:name w:val="Сетка таблицы светлая1"/>
    <w:basedOn w:val="712"/>
    <w:uiPriority w:val="0"/>
    <w:qFormat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numbering" w:styleId="391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cp:revision>1</cp:revision>
  <dcterms:created xsi:type="dcterms:W3CDTF">2025-07-30T03:00:00Z</dcterms:created>
  <dcterms:modified xsi:type="dcterms:W3CDTF">2025-08-12T12:14:51Z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6D5AB541ACE34F7DBD576C70846B937B_12</vt:lpwstr>
  </property>
</Properties>
</file>