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44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40000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Автономная некоммерческая организация </w:t>
      </w:r>
    </w:p>
    <w:p w14:paraId="05000000">
      <w:pPr>
        <w:pStyle w:val="44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pStyle w:val="44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8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44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E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30"/>
        <w:spacing w:before="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Энергетическое право. Публично-правовые отношения</w:t>
      </w:r>
    </w:p>
    <w:p w14:paraId="12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3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4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2A2C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15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17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</w:tc>
      </w:tr>
      <w:tr w14:paraId="24129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</w:tcPr>
          <w:p w14:paraId="1D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E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1F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4A0927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1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2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3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4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D1C8A5E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CF4272D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9F4A323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124"/>
        <w:jc w:val="center"/>
        <w:rPr>
          <w:rFonts w:asciiTheme="minorAscii" w:hAnsiTheme="minorHAnsi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/>
          <w:b w:val="0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г.</w:t>
      </w:r>
      <w:r>
        <w:rPr>
          <w:rFonts w:ascii="Times New Roman" w:hAnsi="Times New Roman"/>
          <w:b w:val="0"/>
        </w:rPr>
        <w:br w:type="page"/>
      </w:r>
    </w:p>
    <w:p w14:paraId="2E000000">
      <w:pPr>
        <w:pStyle w:val="12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2F000000"/>
    <w:p w14:paraId="0F851CBC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_Toc9354 </w:instrText>
      </w:r>
      <w:r>
        <w:fldChar w:fldCharType="separate"/>
      </w: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 w:val="ru-RU"/>
        </w:rPr>
        <w:t>Результаты</w:t>
      </w:r>
      <w:r>
        <w:rPr>
          <w:rFonts w:hint="default" w:ascii="Times New Roman" w:hAnsi="Times New Roman"/>
          <w:lang w:val="ru-RU"/>
        </w:rPr>
        <w:t xml:space="preserve"> освоения дисциплины</w:t>
      </w:r>
      <w:r>
        <w:tab/>
      </w:r>
      <w:r>
        <w:fldChar w:fldCharType="begin"/>
      </w:r>
      <w:r>
        <w:instrText xml:space="preserve"> PAGEREF _Toc9354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911DD34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_Toc4323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_Toc4323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57F8EE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_Toc29470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_Toc29470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7D4BE04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_Toc14281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_Toc14281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29F6056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_Toc17443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_Toc17443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D4B1B1F">
      <w:pPr>
        <w:pStyle w:val="34"/>
        <w:tabs>
          <w:tab w:val="right" w:leader="dot" w:pos="9654"/>
        </w:tabs>
      </w:pPr>
      <w:r>
        <w:fldChar w:fldCharType="begin"/>
      </w:r>
      <w:r>
        <w:instrText xml:space="preserve"> HYPERLINK \l _Toc31413 </w:instrText>
      </w:r>
      <w:r>
        <w:fldChar w:fldCharType="separate"/>
      </w:r>
      <w:r>
        <w:rPr>
          <w:rFonts w:ascii="Times New Roman" w:hAnsi="Times New Roman"/>
        </w:rPr>
        <w:t>5.1. Задания для текущего контроля.</w:t>
      </w:r>
      <w:r>
        <w:tab/>
      </w:r>
      <w:r>
        <w:fldChar w:fldCharType="begin"/>
      </w:r>
      <w:r>
        <w:instrText xml:space="preserve"> PAGEREF _Toc31413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9C76B17">
      <w:pPr>
        <w:pStyle w:val="34"/>
        <w:tabs>
          <w:tab w:val="right" w:leader="dot" w:pos="9654"/>
        </w:tabs>
      </w:pPr>
      <w:r>
        <w:fldChar w:fldCharType="begin"/>
      </w:r>
      <w:r>
        <w:instrText xml:space="preserve"> HYPERLINK \l _Toc17424 </w:instrText>
      </w:r>
      <w:r>
        <w:fldChar w:fldCharType="separate"/>
      </w:r>
      <w:r>
        <w:rPr>
          <w:rFonts w:ascii="Times New Roman" w:hAnsi="Times New Roman"/>
        </w:rPr>
        <w:t>Темы докладов, контрольных работ, коллоквиумов, дискуссий:</w:t>
      </w:r>
      <w:r>
        <w:tab/>
      </w:r>
      <w:r>
        <w:fldChar w:fldCharType="begin"/>
      </w:r>
      <w:r>
        <w:instrText xml:space="preserve"> PAGEREF _Toc17424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E44D2BC">
      <w:pPr>
        <w:pStyle w:val="34"/>
        <w:tabs>
          <w:tab w:val="right" w:leader="dot" w:pos="9654"/>
        </w:tabs>
      </w:pPr>
      <w:r>
        <w:fldChar w:fldCharType="begin"/>
      </w:r>
      <w:r>
        <w:instrText xml:space="preserve"> HYPERLINK \l _Toc24826 </w:instrText>
      </w:r>
      <w:r>
        <w:fldChar w:fldCharType="separate"/>
      </w:r>
      <w:r>
        <w:rPr>
          <w:rFonts w:ascii="Times New Roman" w:hAnsi="Times New Roman"/>
        </w:rPr>
        <w:t>8.1. Промежуточная аттестация</w:t>
      </w:r>
      <w:r>
        <w:tab/>
      </w:r>
      <w:r>
        <w:fldChar w:fldCharType="begin"/>
      </w:r>
      <w:r>
        <w:instrText xml:space="preserve"> PAGEREF _Toc24826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CC68F4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_Toc7872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9. </w:t>
      </w:r>
      <w:r>
        <w:rPr>
          <w:rFonts w:ascii="Times New Roman" w:hAnsi="Times New Roman"/>
        </w:rPr>
        <w:t>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_Toc7872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B469699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_Toc27023 </w:instrText>
      </w:r>
      <w:r>
        <w:fldChar w:fldCharType="separate"/>
      </w:r>
      <w:r>
        <w:rPr>
          <w:rFonts w:hint="default" w:ascii="Times New Roman" w:hAnsi="Times New Roman"/>
          <w:bCs/>
        </w:rPr>
        <w:t xml:space="preserve">10. </w:t>
      </w:r>
      <w:r>
        <w:rPr>
          <w:rFonts w:ascii="Times New Roman" w:hAnsi="Times New Roman"/>
        </w:rPr>
        <w:t>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_Toc27023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A215C36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_Toc30636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_Toc30636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F0ADCB4">
      <w:pPr>
        <w:pStyle w:val="31"/>
        <w:tabs>
          <w:tab w:val="right" w:leader="dot" w:pos="9654"/>
          <w:tab w:val="clear" w:pos="0"/>
          <w:tab w:val="clear" w:pos="10348"/>
        </w:tabs>
      </w:pPr>
      <w:r>
        <w:fldChar w:fldCharType="begin"/>
      </w:r>
      <w:r>
        <w:instrText xml:space="preserve"> HYPERLINK \l _Toc20712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_Toc20712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93252DE">
      <w:r>
        <w:fldChar w:fldCharType="end"/>
      </w:r>
    </w:p>
    <w:p w14:paraId="49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A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B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C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D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E000000">
      <w:pPr>
        <w:pStyle w:val="31"/>
        <w:tabs>
          <w:tab w:val="left" w:pos="440"/>
          <w:tab w:val="right" w:leader="dot" w:pos="9345"/>
        </w:tabs>
        <w:rPr>
          <w:sz w:val="24"/>
        </w:rPr>
      </w:pPr>
    </w:p>
    <w:p w14:paraId="4F000000">
      <w:pPr>
        <w:rPr>
          <w:sz w:val="24"/>
        </w:rPr>
      </w:pPr>
      <w:r>
        <w:rPr>
          <w:sz w:val="24"/>
        </w:rPr>
        <w:br w:type="page"/>
      </w:r>
    </w:p>
    <w:p w14:paraId="53000000">
      <w:pPr>
        <w:pStyle w:val="31"/>
        <w:tabs>
          <w:tab w:val="left" w:pos="440"/>
          <w:tab w:val="right" w:leader="dot" w:pos="9345"/>
        </w:tabs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4000000">
      <w:pPr>
        <w:pStyle w:val="4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9354"/>
      <w:r>
        <w:rPr>
          <w:rFonts w:ascii="Times New Roman" w:hAnsi="Times New Roman"/>
          <w:b/>
          <w:sz w:val="24"/>
          <w:lang w:val="ru-RU"/>
        </w:rPr>
        <w:t>Результаты</w:t>
      </w:r>
      <w:r>
        <w:rPr>
          <w:rFonts w:hint="default" w:ascii="Times New Roman" w:hAnsi="Times New Roman"/>
          <w:b/>
          <w:sz w:val="24"/>
          <w:lang w:val="ru-RU"/>
        </w:rPr>
        <w:t xml:space="preserve"> освоения дисциплины</w:t>
      </w:r>
      <w:bookmarkEnd w:id="1"/>
    </w:p>
    <w:p w14:paraId="55000000">
      <w:pPr>
        <w:pStyle w:val="44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56000000">
      <w:pPr>
        <w:pStyle w:val="44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оценочных средств предназначен для оценки освоения образовательных результатов диисциплины «Энергетическое право. Публично-правовые отношения»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8000000">
      <w:pPr>
        <w:spacing w:after="0" w:line="240" w:lineRule="auto"/>
        <w:ind w:left="20" w:firstLine="0"/>
        <w:rPr>
          <w:rFonts w:ascii="Times New Roman" w:hAnsi="Times New Roman"/>
          <w:sz w:val="24"/>
        </w:rPr>
      </w:pPr>
    </w:p>
    <w:p w14:paraId="69000000">
      <w:pPr>
        <w:numPr>
          <w:ilvl w:val="1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</w:t>
      </w:r>
      <w:r>
        <w:rPr>
          <w:rFonts w:hint="default" w:ascii="Times New Roman" w:hAnsi="Times New Roman"/>
          <w:sz w:val="24"/>
          <w:lang w:val="ru-RU"/>
        </w:rPr>
        <w:t xml:space="preserve"> знания, умения и навыки</w:t>
      </w:r>
      <w:r>
        <w:rPr>
          <w:rFonts w:ascii="Times New Roman" w:hAnsi="Times New Roman"/>
          <w:sz w:val="24"/>
        </w:rPr>
        <w:t xml:space="preserve">. </w:t>
      </w:r>
    </w:p>
    <w:p w14:paraId="6A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Результаты освоения дисциплины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 w14:paraId="1CEAA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Планируемые результаты обучени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</w:tc>
      </w:tr>
      <w:tr w14:paraId="587C1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554A5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</w:t>
            </w:r>
          </w:p>
        </w:tc>
      </w:tr>
      <w:tr w14:paraId="31CA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</w:t>
            </w:r>
          </w:p>
          <w:p w14:paraId="7B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 и приемами проведения научных исследований в области энергетического права.</w:t>
            </w:r>
          </w:p>
        </w:tc>
      </w:tr>
      <w:tr w14:paraId="62663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0000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8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</w:t>
            </w:r>
          </w:p>
          <w:p w14:paraId="810000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языке. </w:t>
            </w:r>
          </w:p>
        </w:tc>
      </w:tr>
      <w:tr w14:paraId="2A7DC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</w:p>
          <w:p w14:paraId="8600000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сравнительно-правового исследования, разрабатывать новые методы, исходя из специфики конкретного исследования вопросов энергетического права. </w:t>
            </w:r>
          </w:p>
          <w:p w14:paraId="87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</w:t>
            </w:r>
          </w:p>
        </w:tc>
      </w:tr>
      <w:tr w14:paraId="4F74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</w:t>
            </w:r>
          </w:p>
          <w:p w14:paraId="8C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пределять содержание, направленность и методику поиска в концепции и в исследовательском проекте, мотивируя работу исследовательского  коллектива в области энергетического права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D0000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способностью к организации и управлению работой исследовательского коллектива при решении исследовательских задач в области энергетического   права.</w:t>
            </w:r>
          </w:p>
        </w:tc>
      </w:tr>
      <w:tr w14:paraId="65FD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</w:t>
            </w:r>
          </w:p>
          <w:p w14:paraId="92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применять необходимые методы сравнительно-правового научного исследования, решать исследовательские задачи в области энергетического права.</w:t>
            </w:r>
          </w:p>
          <w:p w14:paraId="93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актуальными методами проведения научных исследований и решения исследовательских задач в области энергетического права.</w:t>
            </w:r>
          </w:p>
        </w:tc>
      </w:tr>
    </w:tbl>
    <w:p w14:paraId="94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9500000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программы</w:t>
      </w:r>
      <w:r>
        <w:rPr>
          <w:rFonts w:ascii="Times New Roman" w:hAnsi="Times New Roman"/>
          <w:sz w:val="24"/>
        </w:rPr>
        <w:t>:</w:t>
      </w:r>
    </w:p>
    <w:p w14:paraId="9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основные методы научно-исследовательской деятельности;</w:t>
      </w:r>
    </w:p>
    <w:p w14:paraId="97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знает возможные сферы и направления профессиональной самореализации; приёмы и технологии целеполагания и целереализации; пути достижения более высоких уровней профессионального и личного развития;</w:t>
      </w:r>
    </w:p>
    <w:p w14:paraId="98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знает основные направления, проблемы, теории и методы энергетического законодательства;</w:t>
      </w:r>
    </w:p>
    <w:p w14:paraId="99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проводит обработку и анализ данных, необходимых для оценки действующего энергетического законодательства;</w:t>
      </w:r>
    </w:p>
    <w:p w14:paraId="9A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9B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аргументированно отстаивает собственную позицию по различным проблемам правового характера;</w:t>
      </w:r>
    </w:p>
    <w:p w14:paraId="9C00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осуществляет подготовку научных рефератов и презентаций, объясняет свою точку зрения и рассказывает о своих планах.</w:t>
      </w:r>
    </w:p>
    <w:p w14:paraId="9D000000">
      <w:p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</w:p>
    <w:p w14:paraId="9E000000">
      <w:pPr>
        <w:pStyle w:val="4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2" w:name="_Toc4323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2"/>
    </w:p>
    <w:p w14:paraId="9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A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A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3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786"/>
        <w:gridCol w:w="2396"/>
        <w:gridCol w:w="1643"/>
        <w:gridCol w:w="1713"/>
      </w:tblGrid>
      <w:tr w14:paraId="22E7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тем и/или разделов/тем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62"/>
              <w:spacing w:line="240" w:lineRule="auto"/>
              <w:contextualSpacing/>
              <w:jc w:val="center"/>
            </w:pPr>
            <w:r>
              <w:t>Формы текущего</w:t>
            </w:r>
          </w:p>
          <w:p w14:paraId="A6000000">
            <w:pPr>
              <w:pStyle w:val="88"/>
              <w:spacing w:line="240" w:lineRule="auto"/>
              <w:contextualSpacing/>
              <w:rPr>
                <w:i w:val="0"/>
              </w:rPr>
            </w:pPr>
            <w:r>
              <w:rPr>
                <w:rStyle w:val="71"/>
                <w:i w:val="0"/>
              </w:rPr>
              <w:t>контроля успеваемости</w:t>
            </w:r>
          </w:p>
          <w:p w14:paraId="A7000000">
            <w:pPr>
              <w:pStyle w:val="62"/>
              <w:spacing w:line="240" w:lineRule="auto"/>
              <w:contextualSpacing/>
              <w:jc w:val="center"/>
            </w:pPr>
            <w:r>
              <w:t>Формы промежуточной аттестации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pStyle w:val="62"/>
              <w:spacing w:line="240" w:lineRule="auto"/>
              <w:contextualSpacing/>
              <w:jc w:val="center"/>
            </w:pPr>
            <w:r>
              <w:t>Объекты оценивания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pStyle w:val="62"/>
              <w:spacing w:line="240" w:lineRule="auto"/>
              <w:contextualSpacing/>
              <w:jc w:val="center"/>
            </w:pPr>
            <w:r>
              <w:rPr>
                <w:rStyle w:val="139"/>
                <w:sz w:val="20"/>
              </w:rPr>
              <w:t>Вид занятия / Наименование оценочных средств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  <w:r>
              <w:rPr>
                <w:rStyle w:val="139"/>
                <w:sz w:val="20"/>
              </w:rPr>
              <w:t>Форма проведения оценки</w:t>
            </w:r>
          </w:p>
          <w:p w14:paraId="AB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</w:p>
          <w:p w14:paraId="AC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  <w:r>
              <w:rPr>
                <w:rStyle w:val="139"/>
                <w:sz w:val="20"/>
              </w:rPr>
              <w:t>Устная/</w:t>
            </w:r>
          </w:p>
          <w:p w14:paraId="AF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0"/>
              </w:rPr>
            </w:pPr>
            <w:r>
              <w:rPr>
                <w:rStyle w:val="139"/>
                <w:sz w:val="20"/>
              </w:rPr>
              <w:t>письменная</w:t>
            </w:r>
          </w:p>
        </w:tc>
      </w:tr>
      <w:tr w14:paraId="4968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pStyle w:val="62"/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2000000">
            <w:pPr>
              <w:pStyle w:val="62"/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2"/>
              </w:rPr>
            </w:pPr>
            <w:r>
              <w:rPr>
                <w:rStyle w:val="139"/>
                <w:sz w:val="22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pStyle w:val="62"/>
              <w:spacing w:line="240" w:lineRule="auto"/>
              <w:contextualSpacing/>
              <w:jc w:val="center"/>
              <w:rPr>
                <w:rStyle w:val="139"/>
                <w:sz w:val="22"/>
              </w:rPr>
            </w:pPr>
            <w:r>
              <w:rPr>
                <w:rStyle w:val="139"/>
                <w:sz w:val="22"/>
              </w:rPr>
              <w:t>5</w:t>
            </w:r>
          </w:p>
        </w:tc>
      </w:tr>
      <w:tr w14:paraId="0FE10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F5FB42">
            <w:pPr>
              <w:spacing w:after="0" w:line="240" w:lineRule="auto"/>
              <w:contextualSpacing/>
              <w:rPr>
                <w:rStyle w:val="151"/>
                <w:b w:val="0"/>
                <w:sz w:val="24"/>
              </w:rPr>
            </w:pPr>
          </w:p>
          <w:p w14:paraId="1D344677">
            <w:pPr>
              <w:spacing w:after="0" w:line="240" w:lineRule="auto"/>
              <w:contextualSpacing/>
              <w:rPr>
                <w:rStyle w:val="151"/>
                <w:b w:val="0"/>
                <w:sz w:val="24"/>
              </w:rPr>
            </w:pPr>
            <w:r>
              <w:rPr>
                <w:rStyle w:val="151"/>
                <w:b w:val="0"/>
                <w:sz w:val="24"/>
              </w:rPr>
              <w:t xml:space="preserve">Тема 1. </w:t>
            </w:r>
          </w:p>
          <w:p w14:paraId="B5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51"/>
                <w:b w:val="0"/>
                <w:sz w:val="24"/>
              </w:rPr>
              <w:t xml:space="preserve">Фундаментальные проблемы энергетического права. </w:t>
            </w:r>
            <w:r>
              <w:rPr>
                <w:rFonts w:ascii="Times New Roman" w:hAnsi="Times New Roman"/>
                <w:sz w:val="24"/>
              </w:rPr>
              <w:t>Эволюция источников энергетического права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теории энергетического права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8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СЗ:/доклад/ дискуссия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  <w:bookmarkStart w:id="15" w:name="_GoBack"/>
            <w:bookmarkEnd w:id="15"/>
          </w:p>
        </w:tc>
      </w:tr>
      <w:tr w14:paraId="58EC9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D465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BA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 Проблемы правового регулирования публично-правовых отношений в сфере энергетики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правового регулирования публично-правовых отношений в сфере энергетики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СЗ:/доклад/ дискуссия/ коллоквиум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7CE72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B96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BF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 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1000000">
            <w:pPr>
              <w:pStyle w:val="45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СЗ:/доклад/ дискуссия/ контрольная работа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10A88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B08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C400000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темы: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pStyle w:val="45"/>
              <w:contextualSpacing/>
              <w:jc w:val="center"/>
              <w:rPr>
                <w:rStyle w:val="139"/>
                <w:sz w:val="22"/>
              </w:rPr>
            </w:pPr>
            <w:r>
              <w:rPr>
                <w:sz w:val="22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к экзамену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8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</w:tbl>
    <w:p w14:paraId="C9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3" w:name="page8"/>
      <w:bookmarkEnd w:id="3"/>
    </w:p>
    <w:p w14:paraId="CA000000">
      <w:pPr>
        <w:pStyle w:val="44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sz w:val="24"/>
        </w:rPr>
      </w:pPr>
      <w:bookmarkStart w:id="4" w:name="_Toc29470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4"/>
    </w:p>
    <w:p w14:paraId="CB000000">
      <w:pPr>
        <w:pStyle w:val="4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C000000">
      <w:pPr>
        <w:pStyle w:val="4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D000000">
      <w:pPr>
        <w:pStyle w:val="4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14:paraId="CE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04D27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20AB3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ED544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8084F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 по дисциплине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hint="default" w:ascii="Times New Roman" w:hAnsi="Times New Roman"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29F8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222F7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4E0B6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74CB9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4FECF141">
      <w:pPr>
        <w:pStyle w:val="44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EF000000">
      <w:pPr>
        <w:pStyle w:val="44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1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2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3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4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6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7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8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9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A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FB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C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D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FE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FF000000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00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</w:p>
    <w:p w14:paraId="01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sz w:val="24"/>
        </w:rPr>
        <w:t xml:space="preserve">для обучающегося. </w:t>
      </w:r>
    </w:p>
    <w:p w14:paraId="02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максимально возможная выраженность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: </w:t>
      </w:r>
    </w:p>
    <w:p w14:paraId="03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04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навыков, </w:t>
      </w:r>
      <w:r>
        <w:rPr>
          <w:rFonts w:ascii="Times New Roman" w:hAnsi="Times New Roman"/>
          <w:sz w:val="24"/>
        </w:rPr>
        <w:t xml:space="preserve"> указанных в рабочей программе;</w:t>
      </w:r>
    </w:p>
    <w:p w14:paraId="05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06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07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08010000">
      <w:pPr>
        <w:pStyle w:val="44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14281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5"/>
    </w:p>
    <w:p w14:paraId="09010000">
      <w:pPr>
        <w:spacing w:before="120" w:after="12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навыков.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390"/>
      </w:tblGrid>
      <w:tr w14:paraId="51709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1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0B407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1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788C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0F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4AAA5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2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6FEB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15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141A9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10000">
            <w:pPr>
              <w:pStyle w:val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1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9010000">
      <w:pPr>
        <w:pStyle w:val="111"/>
        <w:widowControl/>
        <w:spacing w:line="240" w:lineRule="auto"/>
        <w:ind w:left="0" w:firstLine="706"/>
        <w:rPr>
          <w:rStyle w:val="139"/>
        </w:rPr>
      </w:pPr>
    </w:p>
    <w:p w14:paraId="1A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B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1C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12942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 w14:paraId="4D5E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0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14:paraId="482E9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1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14:paraId="71695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14:paraId="3B014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27010000">
      <w:pPr>
        <w:pStyle w:val="111"/>
        <w:widowControl/>
        <w:spacing w:line="240" w:lineRule="auto"/>
        <w:ind w:left="0" w:firstLine="0"/>
        <w:rPr>
          <w:rStyle w:val="135"/>
          <w:b w:val="0"/>
          <w:i/>
          <w:sz w:val="24"/>
        </w:rPr>
      </w:pPr>
    </w:p>
    <w:p w14:paraId="28010000">
      <w:pPr>
        <w:pStyle w:val="111"/>
        <w:widowControl/>
        <w:spacing w:line="240" w:lineRule="auto"/>
        <w:ind w:left="0" w:firstLine="706"/>
        <w:rPr>
          <w:rStyle w:val="135"/>
          <w:b w:val="0"/>
          <w:i/>
          <w:sz w:val="24"/>
        </w:rPr>
      </w:pPr>
    </w:p>
    <w:p w14:paraId="29010000">
      <w:pPr>
        <w:pStyle w:val="44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17443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6"/>
    </w:p>
    <w:p w14:paraId="2A010000">
      <w:pPr>
        <w:pStyle w:val="44"/>
        <w:numPr>
          <w:ilvl w:val="1"/>
          <w:numId w:val="1"/>
        </w:numPr>
        <w:spacing w:after="24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7" w:name="_Toc31413"/>
      <w:r>
        <w:rPr>
          <w:rFonts w:ascii="Times New Roman" w:hAnsi="Times New Roman"/>
          <w:b/>
          <w:sz w:val="24"/>
        </w:rPr>
        <w:t>Задания для текущего контроля.</w:t>
      </w:r>
      <w:bookmarkEnd w:id="7"/>
    </w:p>
    <w:p w14:paraId="2B010000">
      <w:pPr>
        <w:pStyle w:val="44"/>
        <w:spacing w:after="0" w:line="240" w:lineRule="auto"/>
        <w:ind w:left="1088" w:firstLine="0"/>
        <w:jc w:val="both"/>
        <w:outlineLvl w:val="1"/>
        <w:rPr>
          <w:rFonts w:ascii="Times New Roman" w:hAnsi="Times New Roman"/>
          <w:b/>
          <w:sz w:val="24"/>
        </w:rPr>
      </w:pPr>
      <w:bookmarkStart w:id="8" w:name="_Toc17424"/>
      <w:r>
        <w:rPr>
          <w:rFonts w:ascii="Times New Roman" w:hAnsi="Times New Roman"/>
          <w:b/>
          <w:sz w:val="24"/>
        </w:rPr>
        <w:t>Темы докладов, контрольных работ, коллоквиумов, дискуссий:</w:t>
      </w:r>
      <w:bookmarkEnd w:id="8"/>
    </w:p>
    <w:p w14:paraId="2C010000">
      <w:pPr>
        <w:pStyle w:val="44"/>
        <w:spacing w:after="0" w:line="240" w:lineRule="auto"/>
        <w:ind w:left="1088" w:firstLine="0"/>
        <w:jc w:val="both"/>
        <w:outlineLvl w:val="1"/>
        <w:rPr>
          <w:rFonts w:ascii="Times New Roman" w:hAnsi="Times New Roman"/>
          <w:b/>
          <w:sz w:val="24"/>
        </w:rPr>
      </w:pPr>
    </w:p>
    <w:p w14:paraId="4319BABD">
      <w:pPr>
        <w:numPr>
          <w:ilvl w:val="0"/>
          <w:numId w:val="2"/>
        </w:numPr>
        <w:spacing w:after="0" w:line="240" w:lineRule="auto"/>
        <w:ind w:left="668" w:leftChars="0" w:hanging="44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Цели, задачи, направления государственного регулирования и контроля в сфере энергетики.</w:t>
      </w:r>
    </w:p>
    <w:p w14:paraId="2C09AE01">
      <w:pPr>
        <w:numPr>
          <w:ilvl w:val="0"/>
          <w:numId w:val="2"/>
        </w:numPr>
        <w:spacing w:after="0" w:line="240" w:lineRule="auto"/>
        <w:ind w:left="668" w:leftChars="0" w:hanging="44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Правовой режим энергетических ресурсов как объектов отношений по добыче. Особенности налогового регулирования.</w:t>
      </w:r>
    </w:p>
    <w:p w14:paraId="54C2DB89">
      <w:pPr>
        <w:numPr>
          <w:ilvl w:val="0"/>
          <w:numId w:val="2"/>
        </w:numPr>
        <w:spacing w:after="0" w:line="240" w:lineRule="auto"/>
        <w:ind w:left="668" w:leftChars="0" w:hanging="44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Правовой режим энергетических ресурсов как объектов внешнеэкономических сделок. Особенности таможенного регулирования.</w:t>
      </w:r>
    </w:p>
    <w:p w14:paraId="5CDCF6FA">
      <w:pPr>
        <w:numPr>
          <w:ilvl w:val="0"/>
          <w:numId w:val="2"/>
        </w:numPr>
        <w:spacing w:after="0" w:line="240" w:lineRule="auto"/>
        <w:ind w:left="668" w:leftChars="0" w:hanging="44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Публично-правовые полномочия Ассоциации «НП «Совет рынка».</w:t>
      </w:r>
    </w:p>
    <w:p w14:paraId="2755D393">
      <w:pPr>
        <w:numPr>
          <w:ilvl w:val="0"/>
          <w:numId w:val="2"/>
        </w:numPr>
        <w:spacing w:after="0" w:line="240" w:lineRule="auto"/>
        <w:ind w:left="668" w:leftChars="0" w:hanging="44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Публично-правовые полномочия Государственной корпорации по атомной энергии «Росатом».</w:t>
      </w:r>
    </w:p>
    <w:p w14:paraId="7970463B">
      <w:pPr>
        <w:numPr>
          <w:ilvl w:val="0"/>
          <w:numId w:val="2"/>
        </w:numPr>
        <w:spacing w:after="0" w:line="240" w:lineRule="auto"/>
        <w:ind w:left="668" w:leftChars="0" w:hanging="44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Государственное регулирование цен (тарифов) в сфере энергетики.</w:t>
      </w:r>
    </w:p>
    <w:p w14:paraId="12DFE657">
      <w:pPr>
        <w:numPr>
          <w:ilvl w:val="0"/>
          <w:numId w:val="2"/>
        </w:numPr>
        <w:spacing w:after="0" w:line="240" w:lineRule="auto"/>
        <w:ind w:left="668" w:leftChars="0" w:hanging="44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Государственное регулирование и контроль в области недискриминационного доступа к энергетическим сетям.</w:t>
      </w:r>
    </w:p>
    <w:p w14:paraId="57043086">
      <w:pPr>
        <w:numPr>
          <w:ilvl w:val="0"/>
          <w:numId w:val="2"/>
        </w:numPr>
        <w:spacing w:after="0" w:line="240" w:lineRule="auto"/>
        <w:ind w:left="668" w:leftChars="0" w:hanging="44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Государственное регулирование и контроль климатических проектов и оборота углеродных единиц.</w:t>
      </w:r>
    </w:p>
    <w:p w14:paraId="5716344F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14:paraId="3A010000">
      <w:pPr>
        <w:pStyle w:val="44"/>
        <w:numPr>
          <w:ilvl w:val="1"/>
          <w:numId w:val="2"/>
        </w:numPr>
        <w:spacing w:before="120" w:after="12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9" w:name="_Toc24826"/>
      <w:r>
        <w:rPr>
          <w:rFonts w:ascii="Times New Roman" w:hAnsi="Times New Roman"/>
          <w:b/>
          <w:sz w:val="24"/>
        </w:rPr>
        <w:t>Промежуточная аттестация</w:t>
      </w:r>
      <w:bookmarkEnd w:id="9"/>
    </w:p>
    <w:p w14:paraId="3B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</w:t>
      </w:r>
    </w:p>
    <w:p w14:paraId="3C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3D010000">
      <w:pPr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Примерные вопросы для экзамена:</w:t>
      </w:r>
    </w:p>
    <w:p w14:paraId="3E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и предмет энергетического права.</w:t>
      </w:r>
    </w:p>
    <w:p w14:paraId="3F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 принципы энергетического права.</w:t>
      </w:r>
    </w:p>
    <w:p w14:paraId="40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 энергетического права. Общая характеристика.</w:t>
      </w:r>
    </w:p>
    <w:p w14:paraId="41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энергетических ресурсов как объектов отношений по добыче. Особенности налогового регулирования.</w:t>
      </w:r>
    </w:p>
    <w:p w14:paraId="42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энергетических ресурсов как объектов отношений внешнеэкономических сделок. Особенности таможенного регулирования.</w:t>
      </w:r>
    </w:p>
    <w:p w14:paraId="43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объектов топливно-энергетического комплекса как опасных производственных объектов.</w:t>
      </w:r>
    </w:p>
    <w:p w14:paraId="44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объектов топливно-энергетического комплекса как объектов антитеррористической защищенности.</w:t>
      </w:r>
    </w:p>
    <w:p w14:paraId="45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публично-правового регулирования в сфере энергетики.</w:t>
      </w:r>
    </w:p>
    <w:p w14:paraId="46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Публично-правовые полномочия  Ассоциации «НП «Совет рынка».</w:t>
      </w:r>
    </w:p>
    <w:p w14:paraId="47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Публично-правовые полномочия Государственной корпорации по атомной энергии «Росатом».</w:t>
      </w:r>
    </w:p>
    <w:p w14:paraId="48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Цели, задачи, направления государственного регулирования и контроля (надзора) в сфере энергетики.</w:t>
      </w:r>
    </w:p>
    <w:p w14:paraId="49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Государственные органы, уполномоченные осуществлять государственное регулирование и контроль в сфере энергетики. Общая характеристика.</w:t>
      </w:r>
    </w:p>
    <w:p w14:paraId="4A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отношений по добыче энергетических ресурсов.</w:t>
      </w:r>
    </w:p>
    <w:p w14:paraId="4B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отношений по поставке энергетических ресурсов.</w:t>
      </w:r>
    </w:p>
    <w:p w14:paraId="4C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отношений по транспортировке энергетических ресурсов.</w:t>
      </w:r>
    </w:p>
    <w:p w14:paraId="4D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цен (тарифов) в сфере энергетики.</w:t>
      </w:r>
    </w:p>
    <w:p w14:paraId="4E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Антимонопольное регулирование и контроль в сфере энергетики.</w:t>
      </w:r>
    </w:p>
    <w:p w14:paraId="4F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области  промышленной безопасности опасных производственных объектов топливно-энергетического комплекса.</w:t>
      </w:r>
    </w:p>
    <w:p w14:paraId="50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контроля в области антитеррористической защищенности объектов топливно-энергетического комплекса.</w:t>
      </w:r>
    </w:p>
    <w:p w14:paraId="51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газовой отрасли.</w:t>
      </w:r>
    </w:p>
    <w:p w14:paraId="52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нефтяной отрасли.</w:t>
      </w:r>
    </w:p>
    <w:p w14:paraId="53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угольной отрасли.</w:t>
      </w:r>
    </w:p>
    <w:p w14:paraId="54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в сфере электроэнергетики.</w:t>
      </w:r>
    </w:p>
    <w:p w14:paraId="55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 в сфере теплоснабжения.</w:t>
      </w:r>
    </w:p>
    <w:p w14:paraId="56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 регулирование и контроль в атомной отрасли.</w:t>
      </w:r>
    </w:p>
    <w:p w14:paraId="57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климатических проектов.</w:t>
      </w:r>
    </w:p>
    <w:p w14:paraId="58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оборота углеродных единиц.</w:t>
      </w:r>
    </w:p>
    <w:p w14:paraId="59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регулирование и контроль  в области использования возобновляемых источников энергии.</w:t>
      </w:r>
    </w:p>
    <w:p w14:paraId="5A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досудебного урегулирования споров в связи с разногласиями по ценам (тарифам) в сфере энергетики.</w:t>
      </w:r>
    </w:p>
    <w:p w14:paraId="5B010000">
      <w:pPr>
        <w:pStyle w:val="4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Стратегические цели, задачи, направления государственного регулирования и контроля в области водородной энергетики.</w:t>
      </w:r>
    </w:p>
    <w:p w14:paraId="33EAF9A4">
      <w:pPr>
        <w:pStyle w:val="44"/>
        <w:spacing w:before="120" w:after="120" w:line="240" w:lineRule="auto"/>
        <w:ind w:left="0" w:firstLine="851"/>
        <w:jc w:val="both"/>
        <w:rPr>
          <w:rFonts w:ascii="Times New Roman" w:hAnsi="Times New Roman"/>
          <w:color w:val="000000"/>
          <w:sz w:val="24"/>
        </w:rPr>
      </w:pPr>
    </w:p>
    <w:p w14:paraId="5C010000">
      <w:pPr>
        <w:pStyle w:val="44"/>
        <w:spacing w:before="120" w:after="120" w:line="240" w:lineRule="auto"/>
        <w:ind w:left="0"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 по каждому вопросу на экзамене должен отражать системность знаний в области энергетического права и публично-правовых отношений. На экзамене членами приемной комиссией могут быть заданы дополнительные или уточняющие вопросы.</w:t>
      </w:r>
    </w:p>
    <w:p w14:paraId="5D010000">
      <w:pPr>
        <w:pStyle w:val="44"/>
        <w:tabs>
          <w:tab w:val="left" w:pos="1418"/>
          <w:tab w:val="left" w:pos="1560"/>
        </w:tabs>
        <w:spacing w:before="120" w:after="120" w:line="240" w:lineRule="auto"/>
        <w:ind w:left="726" w:firstLine="0"/>
        <w:outlineLvl w:val="0"/>
        <w:rPr>
          <w:rFonts w:ascii="Times New Roman" w:hAnsi="Times New Roman"/>
          <w:b/>
          <w:sz w:val="24"/>
        </w:rPr>
      </w:pPr>
    </w:p>
    <w:p w14:paraId="5E010000">
      <w:pPr>
        <w:pStyle w:val="44"/>
        <w:numPr>
          <w:ilvl w:val="0"/>
          <w:numId w:val="2"/>
        </w:numPr>
        <w:tabs>
          <w:tab w:val="left" w:pos="1134"/>
          <w:tab w:val="left" w:pos="1560"/>
        </w:tabs>
        <w:spacing w:before="120" w:after="120" w:line="240" w:lineRule="auto"/>
        <w:ind w:left="0" w:firstLine="726"/>
        <w:jc w:val="center"/>
        <w:outlineLvl w:val="0"/>
        <w:rPr>
          <w:rFonts w:ascii="Times New Roman" w:hAnsi="Times New Roman"/>
          <w:b/>
          <w:sz w:val="24"/>
        </w:rPr>
      </w:pPr>
      <w:bookmarkStart w:id="10" w:name="_Toc7872"/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  <w:bookmarkEnd w:id="10"/>
    </w:p>
    <w:p w14:paraId="5F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Процедура оценивания результатов обучения по дисциплине характеризующих этапы</w:t>
      </w:r>
      <w:r>
        <w:rPr>
          <w:rStyle w:val="139"/>
          <w:rFonts w:hint="default"/>
          <w:sz w:val="24"/>
          <w:lang w:val="ru-RU"/>
        </w:rPr>
        <w:t xml:space="preserve"> освоения дисциплины</w:t>
      </w:r>
      <w:r>
        <w:rPr>
          <w:rStyle w:val="139"/>
          <w:sz w:val="24"/>
        </w:rPr>
        <w:t>, представлена паспортом фонда оценочных средств по дисциплине (раздел 1).</w:t>
      </w:r>
    </w:p>
    <w:p w14:paraId="60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 xml:space="preserve">Комплект оценочных средств хранится в Центре, подлежит обновлению по мере необходимости.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61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b/>
          <w:sz w:val="24"/>
        </w:rPr>
        <w:t>Порядок проведения текущего контроля</w:t>
      </w:r>
      <w:r>
        <w:rPr>
          <w:rStyle w:val="13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62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b/>
          <w:sz w:val="24"/>
        </w:rPr>
        <w:t>Текущий контроль</w:t>
      </w:r>
      <w:r>
        <w:rPr>
          <w:rStyle w:val="13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63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64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65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66010000">
      <w:pPr>
        <w:pStyle w:val="111"/>
        <w:widowControl/>
        <w:spacing w:line="240" w:lineRule="auto"/>
        <w:ind w:left="0" w:firstLine="706"/>
        <w:rPr>
          <w:rStyle w:val="139"/>
          <w:sz w:val="24"/>
        </w:rPr>
      </w:pPr>
      <w:r>
        <w:rPr>
          <w:rStyle w:val="139"/>
          <w:sz w:val="24"/>
        </w:rPr>
        <w:t>При аттестации обучающихся учитываются следующие факторы:</w:t>
      </w:r>
    </w:p>
    <w:p w14:paraId="67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3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68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69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6A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6B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6C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6D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6E010000">
      <w:pPr>
        <w:pStyle w:val="111"/>
        <w:widowControl/>
        <w:spacing w:line="240" w:lineRule="auto"/>
        <w:ind w:left="0" w:firstLine="706"/>
      </w:pPr>
      <w:r>
        <w:rPr>
          <w:rStyle w:val="139"/>
          <w:b/>
          <w:sz w:val="24"/>
        </w:rPr>
        <w:t>Промежуточная аттестация</w:t>
      </w:r>
      <w:r>
        <w:rPr>
          <w:rStyle w:val="13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6F01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70010000">
      <w:pPr>
        <w:pStyle w:val="44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11" w:name="_Toc27023"/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  <w:bookmarkEnd w:id="11"/>
    </w:p>
    <w:p w14:paraId="71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72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73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74010000">
      <w:pPr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75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12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19D1EF2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F36FB5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8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7A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7D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7E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7F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80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57FA99F1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A5DB790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82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3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8C7782B"/>
        </w:tc>
      </w:tr>
      <w:tr w14:paraId="3BEC7210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4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8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7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8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8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8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8B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8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5FDC6A65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11F9525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8D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8E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8F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2275242"/>
        </w:tc>
      </w:tr>
      <w:tr w14:paraId="08A52645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90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9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92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93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94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95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9601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97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98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99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9A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9B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9C01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 w14:paraId="4B62C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9E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9F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 w14:paraId="3733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DB3AE0"/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 w14:paraId="31713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AEA083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A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A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9427F"/>
        </w:tc>
      </w:tr>
      <w:tr w14:paraId="486B6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A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AE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B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B3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B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 w14:paraId="09E13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383718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9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A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 w14:paraId="3EA9D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B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D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C1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C2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1A5EB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43BCE0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9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A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21A3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C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C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D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D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D2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12" w:name="_Hlk504003203"/>
    </w:p>
    <w:p w14:paraId="D30100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65E9F53F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D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354709E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7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D8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9010000">
            <w:pPr>
              <w:widowControl w:val="0"/>
              <w:numPr>
                <w:ilvl w:val="0"/>
                <w:numId w:val="6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DA010000">
            <w:pPr>
              <w:widowControl w:val="0"/>
              <w:numPr>
                <w:ilvl w:val="0"/>
                <w:numId w:val="6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30B554BB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DC010000">
            <w:pPr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DD010000">
            <w:pPr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7C46E15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DE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DF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E0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E1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</w:p>
        </w:tc>
      </w:tr>
    </w:tbl>
    <w:p w14:paraId="E2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301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3" w:name="_Toc30636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  <w:bookmarkEnd w:id="13"/>
    </w:p>
    <w:p w14:paraId="E4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5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E6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E7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801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4" w:name="_Toc20712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  <w:bookmarkEnd w:id="14"/>
    </w:p>
    <w:p w14:paraId="E9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EA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EB01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7" w:h="16839"/>
      <w:pgMar w:top="1147" w:right="977" w:bottom="1134" w:left="1276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CCAC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9"/>
      <w:jc w:val="center"/>
    </w:pPr>
  </w:p>
  <w:p w14:paraId="02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D7F9FE59"/>
    <w:multiLevelType w:val="multilevel"/>
    <w:tmpl w:val="D7F9FE5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4">
    <w:nsid w:val="0E640482"/>
    <w:multiLevelType w:val="multilevel"/>
    <w:tmpl w:val="0E640482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4C1BAE26"/>
    <w:multiLevelType w:val="multilevel"/>
    <w:tmpl w:val="4C1BAE26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6">
    <w:nsid w:val="5246D68E"/>
    <w:multiLevelType w:val="multilevel"/>
    <w:tmpl w:val="5246D68E"/>
    <w:lvl w:ilvl="0" w:tentative="0">
      <w:start w:val="1"/>
      <w:numFmt w:val="decimal"/>
      <w:lvlText w:val="%1."/>
      <w:lvlJc w:val="left"/>
      <w:pPr>
        <w:ind w:left="1088" w:hanging="360"/>
      </w:pPr>
      <w:rPr>
        <w:rFonts w:hint="default" w:ascii="Times New Roman" w:hAnsi="Times New Roman"/>
        <w:b w:val="0"/>
        <w:bCs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7">
    <w:nsid w:val="60382F6E"/>
    <w:multiLevelType w:val="multilevel"/>
    <w:tmpl w:val="60382F6E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CA1F64"/>
    <w:rsid w:val="3E3E2C48"/>
    <w:rsid w:val="4052113F"/>
    <w:rsid w:val="57F1037A"/>
    <w:rsid w:val="69ED5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page number"/>
    <w:qFormat/>
    <w:uiPriority w:val="0"/>
  </w:style>
  <w:style w:type="character" w:styleId="19">
    <w:name w:val="Strong"/>
    <w:qFormat/>
    <w:uiPriority w:val="0"/>
    <w:rPr>
      <w:b/>
    </w:rPr>
  </w:style>
  <w:style w:type="paragraph" w:styleId="2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3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4">
    <w:name w:val="annotation subject"/>
    <w:basedOn w:val="23"/>
    <w:next w:val="23"/>
    <w:qFormat/>
    <w:uiPriority w:val="0"/>
    <w:rPr>
      <w:b/>
    </w:rPr>
  </w:style>
  <w:style w:type="paragraph" w:styleId="25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6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8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Body Text"/>
    <w:basedOn w:val="1"/>
    <w:qFormat/>
    <w:uiPriority w:val="0"/>
    <w:pPr>
      <w:spacing w:after="120"/>
    </w:pPr>
  </w:style>
  <w:style w:type="paragraph" w:styleId="31">
    <w:name w:val="toc 1"/>
    <w:basedOn w:val="1"/>
    <w:next w:val="1"/>
    <w:qFormat/>
    <w:uiPriority w:val="39"/>
    <w:pPr>
      <w:widowControl w:val="0"/>
      <w:tabs>
        <w:tab w:val="left" w:pos="0"/>
        <w:tab w:val="right" w:leader="dot" w:pos="10348"/>
      </w:tabs>
      <w:spacing w:after="0" w:line="240" w:lineRule="auto"/>
      <w:jc w:val="center"/>
    </w:pPr>
    <w:rPr>
      <w:rFonts w:ascii="Times New Roman" w:hAnsi="Times New Roman"/>
      <w:caps/>
      <w:sz w:val="20"/>
    </w:rPr>
  </w:style>
  <w:style w:type="paragraph" w:styleId="32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3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0"/>
    </w:rPr>
  </w:style>
  <w:style w:type="paragraph" w:styleId="34">
    <w:name w:val="toc 2"/>
    <w:basedOn w:val="1"/>
    <w:next w:val="1"/>
    <w:qFormat/>
    <w:uiPriority w:val="39"/>
    <w:pPr>
      <w:spacing w:after="100"/>
      <w:ind w:left="220" w:firstLine="0"/>
    </w:pPr>
    <w:rPr>
      <w:rFonts w:ascii="Times New Roman" w:hAnsi="Times New Roman"/>
      <w:sz w:val="20"/>
    </w:rPr>
  </w:style>
  <w:style w:type="paragraph" w:styleId="35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6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7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8">
    <w:name w:val="Title"/>
    <w:basedOn w:val="1"/>
    <w:qFormat/>
    <w:uiPriority w:val="10"/>
    <w:pPr>
      <w:spacing w:after="0" w:line="240" w:lineRule="auto"/>
      <w:jc w:val="center"/>
    </w:pPr>
    <w:rPr>
      <w:rFonts w:ascii="Times New Roman" w:hAnsi="Times New Roman"/>
      <w:b/>
    </w:rPr>
  </w:style>
  <w:style w:type="paragraph" w:styleId="39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40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41">
    <w:name w:val="Body Text 3"/>
    <w:basedOn w:val="1"/>
    <w:qFormat/>
    <w:uiPriority w:val="0"/>
    <w:pPr>
      <w:spacing w:after="120" w:line="240" w:lineRule="auto"/>
    </w:pPr>
    <w:rPr>
      <w:rFonts w:ascii="Times New Roman" w:hAnsi="Times New Roman"/>
      <w:sz w:val="16"/>
    </w:rPr>
  </w:style>
  <w:style w:type="paragraph" w:styleId="42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44">
    <w:name w:val="List Paragraph"/>
    <w:basedOn w:val="1"/>
    <w:uiPriority w:val="0"/>
    <w:pPr>
      <w:ind w:left="720" w:firstLine="0"/>
      <w:contextualSpacing/>
    </w:pPr>
  </w:style>
  <w:style w:type="paragraph" w:customStyle="1" w:styleId="45">
    <w:name w:val="Style8"/>
    <w:basedOn w:val="1"/>
    <w:link w:val="46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6">
    <w:name w:val="Style81"/>
    <w:link w:val="45"/>
    <w:qFormat/>
    <w:uiPriority w:val="0"/>
    <w:rPr>
      <w:rFonts w:ascii="Times New Roman" w:hAnsi="Times New Roman"/>
      <w:sz w:val="24"/>
    </w:rPr>
  </w:style>
  <w:style w:type="paragraph" w:customStyle="1" w:styleId="47">
    <w:name w:val="Основной текст (5) + Курсив"/>
    <w:link w:val="4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48">
    <w:name w:val="Основной текст (5) + Курсив1"/>
    <w:link w:val="47"/>
    <w:qFormat/>
    <w:uiPriority w:val="0"/>
    <w:rPr>
      <w:rFonts w:ascii="Times New Roman" w:hAnsi="Times New Roman"/>
      <w:i/>
      <w:highlight w:val="white"/>
    </w:rPr>
  </w:style>
  <w:style w:type="paragraph" w:customStyle="1" w:styleId="49">
    <w:name w:val="Основной текст (7) + Не полужирный"/>
    <w:link w:val="5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50">
    <w:name w:val="Основной текст (7) + Не полужирный1"/>
    <w:link w:val="49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51">
    <w:name w:val="Table Paragraph"/>
    <w:basedOn w:val="1"/>
    <w:link w:val="52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2">
    <w:name w:val="Table Paragraph1"/>
    <w:link w:val="51"/>
    <w:qFormat/>
    <w:uiPriority w:val="0"/>
    <w:rPr>
      <w:rFonts w:ascii="Times New Roman" w:hAnsi="Times New Roman"/>
    </w:rPr>
  </w:style>
  <w:style w:type="paragraph" w:customStyle="1" w:styleId="53">
    <w:name w:val="Обычный1"/>
    <w:link w:val="54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54">
    <w:name w:val="Обычный11"/>
    <w:link w:val="53"/>
    <w:qFormat/>
    <w:uiPriority w:val="0"/>
    <w:rPr>
      <w:rFonts w:ascii="Times New Roman" w:hAnsi="Times New Roman"/>
      <w:sz w:val="28"/>
    </w:rPr>
  </w:style>
  <w:style w:type="paragraph" w:customStyle="1" w:styleId="55">
    <w:name w:val="Endnote"/>
    <w:basedOn w:val="1"/>
    <w:link w:val="56"/>
    <w:qFormat/>
    <w:uiPriority w:val="0"/>
    <w:pPr>
      <w:spacing w:after="0" w:line="240" w:lineRule="auto"/>
    </w:pPr>
    <w:rPr>
      <w:sz w:val="20"/>
    </w:rPr>
  </w:style>
  <w:style w:type="character" w:customStyle="1" w:styleId="56">
    <w:name w:val="Endnote1"/>
    <w:link w:val="55"/>
    <w:qFormat/>
    <w:uiPriority w:val="0"/>
    <w:rPr>
      <w:sz w:val="20"/>
    </w:rPr>
  </w:style>
  <w:style w:type="paragraph" w:customStyle="1" w:styleId="57">
    <w:name w:val="Style64"/>
    <w:basedOn w:val="1"/>
    <w:link w:val="58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8">
    <w:name w:val="Style641"/>
    <w:link w:val="57"/>
    <w:qFormat/>
    <w:uiPriority w:val="0"/>
    <w:rPr>
      <w:rFonts w:ascii="Times New Roman" w:hAnsi="Times New Roman"/>
      <w:sz w:val="24"/>
    </w:rPr>
  </w:style>
  <w:style w:type="paragraph" w:styleId="5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60">
    <w:name w:val="Style45"/>
    <w:basedOn w:val="1"/>
    <w:link w:val="61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61">
    <w:name w:val="Style451"/>
    <w:link w:val="60"/>
    <w:qFormat/>
    <w:uiPriority w:val="0"/>
    <w:rPr>
      <w:rFonts w:ascii="Times New Roman" w:hAnsi="Times New Roman"/>
      <w:sz w:val="24"/>
    </w:rPr>
  </w:style>
  <w:style w:type="paragraph" w:customStyle="1" w:styleId="62">
    <w:name w:val="Основной текст (5)"/>
    <w:basedOn w:val="1"/>
    <w:link w:val="63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63">
    <w:name w:val="Основной текст (5)1"/>
    <w:link w:val="62"/>
    <w:qFormat/>
    <w:uiPriority w:val="0"/>
    <w:rPr>
      <w:rFonts w:ascii="Times New Roman" w:hAnsi="Times New Roman"/>
      <w:sz w:val="20"/>
    </w:rPr>
  </w:style>
  <w:style w:type="paragraph" w:customStyle="1" w:styleId="64">
    <w:name w:val="Стиль1"/>
    <w:basedOn w:val="1"/>
    <w:link w:val="65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65">
    <w:name w:val="Стиль11"/>
    <w:link w:val="64"/>
    <w:qFormat/>
    <w:uiPriority w:val="0"/>
    <w:rPr>
      <w:rFonts w:ascii="Arial" w:hAnsi="Arial"/>
      <w:sz w:val="24"/>
    </w:rPr>
  </w:style>
  <w:style w:type="paragraph" w:customStyle="1" w:styleId="66">
    <w:name w:val="_Style 44"/>
    <w:basedOn w:val="1"/>
    <w:next w:val="40"/>
    <w:link w:val="67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67">
    <w:name w:val="_Style 45"/>
    <w:link w:val="66"/>
    <w:semiHidden/>
    <w:unhideWhenUsed/>
    <w:qFormat/>
    <w:uiPriority w:val="0"/>
    <w:rPr>
      <w:rFonts w:ascii="Times New Roman" w:hAnsi="Times New Roman"/>
      <w:sz w:val="24"/>
    </w:rPr>
  </w:style>
  <w:style w:type="paragraph" w:customStyle="1" w:styleId="68">
    <w:name w:val="Основной текст (6)3"/>
    <w:link w:val="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9">
    <w:name w:val="Основной текст (6)31"/>
    <w:link w:val="68"/>
    <w:qFormat/>
    <w:uiPriority w:val="0"/>
    <w:rPr>
      <w:rFonts w:ascii="Times New Roman" w:hAnsi="Times New Roman"/>
      <w:highlight w:val="white"/>
    </w:rPr>
  </w:style>
  <w:style w:type="paragraph" w:customStyle="1" w:styleId="70">
    <w:name w:val="Основной текст (18) + Не курсив"/>
    <w:link w:val="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71">
    <w:name w:val="Основной текст (18) + Не курсив1"/>
    <w:link w:val="70"/>
    <w:qFormat/>
    <w:uiPriority w:val="0"/>
    <w:rPr>
      <w:rFonts w:ascii="Times New Roman" w:hAnsi="Times New Roman"/>
      <w:highlight w:val="white"/>
    </w:rPr>
  </w:style>
  <w:style w:type="paragraph" w:customStyle="1" w:styleId="72">
    <w:name w:val="Font Style73"/>
    <w:link w:val="7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73">
    <w:name w:val="Font Style731"/>
    <w:link w:val="72"/>
    <w:qFormat/>
    <w:uiPriority w:val="0"/>
    <w:rPr>
      <w:rFonts w:ascii="Times New Roman" w:hAnsi="Times New Roman"/>
      <w:b/>
      <w:sz w:val="22"/>
    </w:rPr>
  </w:style>
  <w:style w:type="paragraph" w:customStyle="1" w:styleId="74">
    <w:name w:val="Заголовок №74"/>
    <w:link w:val="7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75">
    <w:name w:val="Заголовок №741"/>
    <w:link w:val="7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76">
    <w:name w:val="Основной текст (2)"/>
    <w:basedOn w:val="1"/>
    <w:link w:val="77"/>
    <w:qFormat/>
    <w:uiPriority w:val="0"/>
    <w:pPr>
      <w:widowControl w:val="0"/>
      <w:spacing w:before="420" w:after="420" w:line="486" w:lineRule="exact"/>
      <w:ind w:left="340" w:hanging="340"/>
      <w:jc w:val="both"/>
    </w:pPr>
    <w:rPr>
      <w:rFonts w:ascii="Times New Roman" w:hAnsi="Times New Roman"/>
      <w:sz w:val="28"/>
    </w:rPr>
  </w:style>
  <w:style w:type="character" w:customStyle="1" w:styleId="77">
    <w:name w:val="Основной текст (2)1"/>
    <w:link w:val="76"/>
    <w:qFormat/>
    <w:uiPriority w:val="0"/>
    <w:rPr>
      <w:rFonts w:ascii="Times New Roman" w:hAnsi="Times New Roman"/>
      <w:sz w:val="28"/>
    </w:rPr>
  </w:style>
  <w:style w:type="paragraph" w:customStyle="1" w:styleId="78">
    <w:name w:val="Intense Reference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79">
    <w:name w:val="Intense Reference1"/>
    <w:link w:val="78"/>
    <w:qFormat/>
    <w:uiPriority w:val="0"/>
    <w:rPr>
      <w:b/>
      <w:smallCaps/>
      <w:color w:val="DD8047"/>
      <w:spacing w:val="5"/>
      <w:u w:val="single"/>
    </w:rPr>
  </w:style>
  <w:style w:type="paragraph" w:customStyle="1" w:styleId="80">
    <w:name w:val="Основной текст (16)"/>
    <w:basedOn w:val="1"/>
    <w:link w:val="81"/>
    <w:qFormat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customStyle="1" w:styleId="81">
    <w:name w:val="Основной текст (16)1"/>
    <w:link w:val="80"/>
    <w:qFormat/>
    <w:uiPriority w:val="0"/>
    <w:rPr>
      <w:rFonts w:ascii="Times New Roman" w:hAnsi="Times New Roman"/>
      <w:b/>
      <w:i/>
    </w:rPr>
  </w:style>
  <w:style w:type="paragraph" w:customStyle="1" w:styleId="82">
    <w:name w:val="Subtle Reference"/>
    <w:link w:val="83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83">
    <w:name w:val="Subtle Reference1"/>
    <w:link w:val="82"/>
    <w:qFormat/>
    <w:uiPriority w:val="0"/>
    <w:rPr>
      <w:smallCaps/>
      <w:color w:val="DD8047"/>
      <w:u w:val="single"/>
    </w:rPr>
  </w:style>
  <w:style w:type="paragraph" w:customStyle="1" w:styleId="84">
    <w:name w:val="Основной текст (7)"/>
    <w:basedOn w:val="1"/>
    <w:link w:val="85"/>
    <w:qFormat/>
    <w:uiPriority w:val="0"/>
    <w:pPr>
      <w:widowControl w:val="0"/>
      <w:spacing w:after="420" w:line="500" w:lineRule="exact"/>
      <w:jc w:val="center"/>
    </w:pPr>
    <w:rPr>
      <w:rFonts w:ascii="Times New Roman" w:hAnsi="Times New Roman"/>
      <w:b/>
      <w:sz w:val="28"/>
    </w:rPr>
  </w:style>
  <w:style w:type="character" w:customStyle="1" w:styleId="85">
    <w:name w:val="Основной текст (7)1"/>
    <w:link w:val="84"/>
    <w:qFormat/>
    <w:uiPriority w:val="0"/>
    <w:rPr>
      <w:rFonts w:ascii="Times New Roman" w:hAnsi="Times New Roman"/>
      <w:b/>
      <w:sz w:val="28"/>
    </w:rPr>
  </w:style>
  <w:style w:type="paragraph" w:customStyle="1" w:styleId="86">
    <w:name w:val="Font Style13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7">
    <w:name w:val="Font Style131"/>
    <w:link w:val="86"/>
    <w:qFormat/>
    <w:uiPriority w:val="0"/>
    <w:rPr>
      <w:rFonts w:ascii="Times New Roman" w:hAnsi="Times New Roman"/>
      <w:sz w:val="26"/>
    </w:rPr>
  </w:style>
  <w:style w:type="paragraph" w:customStyle="1" w:styleId="88">
    <w:name w:val="Основной текст (18)"/>
    <w:basedOn w:val="1"/>
    <w:link w:val="89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89">
    <w:name w:val="Основной текст (18)1"/>
    <w:link w:val="88"/>
    <w:qFormat/>
    <w:uiPriority w:val="0"/>
    <w:rPr>
      <w:rFonts w:ascii="Times New Roman" w:hAnsi="Times New Roman"/>
      <w:i/>
      <w:sz w:val="20"/>
    </w:rPr>
  </w:style>
  <w:style w:type="paragraph" w:customStyle="1" w:styleId="90">
    <w:name w:val="Название Знак1"/>
    <w:link w:val="91"/>
    <w:qFormat/>
    <w:uiPriority w:val="0"/>
    <w:pPr>
      <w:spacing w:before="0" w:after="0" w:line="240" w:lineRule="auto"/>
      <w:ind w:left="0" w:right="0" w:firstLine="0"/>
      <w:jc w:val="left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customStyle="1" w:styleId="91">
    <w:name w:val="Название Знак11"/>
    <w:basedOn w:val="11"/>
    <w:link w:val="90"/>
    <w:qFormat/>
    <w:uiPriority w:val="0"/>
    <w:rPr>
      <w:rFonts w:asciiTheme="majorAscii" w:hAnsiTheme="majorHAnsi"/>
      <w:color w:val="333F50" w:themeColor="text2" w:themeShade="BF"/>
      <w:spacing w:val="5"/>
      <w:sz w:val="52"/>
    </w:rPr>
  </w:style>
  <w:style w:type="paragraph" w:customStyle="1" w:styleId="92">
    <w:name w:val="Subtle Emphasis"/>
    <w:link w:val="93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93">
    <w:name w:val="Subtle Emphasis1"/>
    <w:link w:val="92"/>
    <w:qFormat/>
    <w:uiPriority w:val="0"/>
    <w:rPr>
      <w:i/>
      <w:color w:val="808080"/>
    </w:rPr>
  </w:style>
  <w:style w:type="paragraph" w:customStyle="1" w:styleId="94">
    <w:name w:val="Footnote"/>
    <w:basedOn w:val="1"/>
    <w:link w:val="95"/>
    <w:qFormat/>
    <w:uiPriority w:val="0"/>
    <w:pPr>
      <w:spacing w:after="0" w:line="240" w:lineRule="auto"/>
    </w:pPr>
    <w:rPr>
      <w:sz w:val="20"/>
    </w:rPr>
  </w:style>
  <w:style w:type="character" w:customStyle="1" w:styleId="95">
    <w:name w:val="Footnote1"/>
    <w:link w:val="94"/>
    <w:qFormat/>
    <w:uiPriority w:val="0"/>
    <w:rPr>
      <w:sz w:val="20"/>
    </w:rPr>
  </w:style>
  <w:style w:type="paragraph" w:customStyle="1" w:styleId="96">
    <w:name w:val="Default"/>
    <w:link w:val="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97">
    <w:name w:val="Default1"/>
    <w:link w:val="96"/>
    <w:qFormat/>
    <w:uiPriority w:val="0"/>
    <w:rPr>
      <w:rFonts w:ascii="Times New Roman" w:hAnsi="Times New Roman"/>
      <w:color w:val="000000"/>
      <w:sz w:val="24"/>
    </w:rPr>
  </w:style>
  <w:style w:type="paragraph" w:customStyle="1" w:styleId="98">
    <w:name w:val="Основной текст2"/>
    <w:basedOn w:val="1"/>
    <w:link w:val="99"/>
    <w:qFormat/>
    <w:uiPriority w:val="0"/>
    <w:pPr>
      <w:widowControl w:val="0"/>
      <w:spacing w:before="6480" w:after="0" w:line="250" w:lineRule="exact"/>
      <w:jc w:val="center"/>
    </w:pPr>
    <w:rPr>
      <w:rFonts w:ascii="Times New Roman" w:hAnsi="Times New Roman"/>
      <w:color w:val="000000"/>
      <w:sz w:val="21"/>
    </w:rPr>
  </w:style>
  <w:style w:type="character" w:customStyle="1" w:styleId="99">
    <w:name w:val="Основной текст21"/>
    <w:link w:val="98"/>
    <w:qFormat/>
    <w:uiPriority w:val="0"/>
    <w:rPr>
      <w:rFonts w:ascii="Times New Roman" w:hAnsi="Times New Roman"/>
      <w:color w:val="000000"/>
      <w:sz w:val="21"/>
    </w:rPr>
  </w:style>
  <w:style w:type="paragraph" w:customStyle="1" w:styleId="100">
    <w:name w:val="Header and Footer"/>
    <w:link w:val="10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101">
    <w:name w:val="Header and Footer1"/>
    <w:link w:val="100"/>
    <w:qFormat/>
    <w:uiPriority w:val="0"/>
    <w:rPr>
      <w:rFonts w:ascii="XO Thames" w:hAnsi="XO Thames"/>
      <w:sz w:val="20"/>
    </w:rPr>
  </w:style>
  <w:style w:type="paragraph" w:styleId="102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103">
    <w:name w:val="_Style 112"/>
    <w:link w:val="104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104">
    <w:name w:val="_Style 113"/>
    <w:link w:val="103"/>
    <w:semiHidden/>
    <w:unhideWhenUsed/>
    <w:qFormat/>
    <w:uiPriority w:val="0"/>
    <w:rPr>
      <w:sz w:val="22"/>
    </w:rPr>
  </w:style>
  <w:style w:type="paragraph" w:customStyle="1" w:styleId="105">
    <w:name w:val="Style58"/>
    <w:basedOn w:val="1"/>
    <w:link w:val="106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6">
    <w:name w:val="Style581"/>
    <w:link w:val="105"/>
    <w:qFormat/>
    <w:uiPriority w:val="0"/>
    <w:rPr>
      <w:rFonts w:ascii="Times New Roman" w:hAnsi="Times New Roman"/>
      <w:sz w:val="24"/>
    </w:rPr>
  </w:style>
  <w:style w:type="paragraph" w:customStyle="1" w:styleId="107">
    <w:name w:val="Основной текст (39)1"/>
    <w:basedOn w:val="1"/>
    <w:link w:val="108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108">
    <w:name w:val="Основной текст (39)11"/>
    <w:link w:val="107"/>
    <w:qFormat/>
    <w:uiPriority w:val="0"/>
    <w:rPr>
      <w:rFonts w:ascii="Times New Roman" w:hAnsi="Times New Roman"/>
      <w:i/>
      <w:sz w:val="20"/>
    </w:rPr>
  </w:style>
  <w:style w:type="paragraph" w:customStyle="1" w:styleId="109">
    <w:name w:val="Book Title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10">
    <w:name w:val="Book Title1"/>
    <w:link w:val="109"/>
    <w:qFormat/>
    <w:uiPriority w:val="0"/>
    <w:rPr>
      <w:b/>
      <w:smallCaps/>
      <w:spacing w:val="5"/>
    </w:rPr>
  </w:style>
  <w:style w:type="paragraph" w:customStyle="1" w:styleId="111">
    <w:name w:val="Style5"/>
    <w:basedOn w:val="1"/>
    <w:link w:val="11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112">
    <w:name w:val="Style51"/>
    <w:link w:val="111"/>
    <w:qFormat/>
    <w:uiPriority w:val="0"/>
    <w:rPr>
      <w:rFonts w:ascii="Times New Roman" w:hAnsi="Times New Roman"/>
      <w:sz w:val="24"/>
    </w:rPr>
  </w:style>
  <w:style w:type="paragraph" w:customStyle="1" w:styleId="113">
    <w:name w:val="WW-Базовый"/>
    <w:link w:val="114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4">
    <w:name w:val="WW-Базовый1"/>
    <w:link w:val="113"/>
    <w:qFormat/>
    <w:uiPriority w:val="0"/>
    <w:rPr>
      <w:rFonts w:ascii="Times New Roman" w:hAnsi="Times New Roman"/>
      <w:color w:val="000000"/>
      <w:sz w:val="24"/>
    </w:rPr>
  </w:style>
  <w:style w:type="paragraph" w:customStyle="1" w:styleId="115">
    <w:name w:val="Style13"/>
    <w:basedOn w:val="1"/>
    <w:link w:val="116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16">
    <w:name w:val="Style131"/>
    <w:link w:val="115"/>
    <w:qFormat/>
    <w:uiPriority w:val="0"/>
    <w:rPr>
      <w:rFonts w:ascii="Times New Roman" w:hAnsi="Times New Roman"/>
      <w:sz w:val="24"/>
    </w:rPr>
  </w:style>
  <w:style w:type="paragraph" w:customStyle="1" w:styleId="117">
    <w:name w:val="Основной текст5"/>
    <w:basedOn w:val="1"/>
    <w:link w:val="11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18">
    <w:name w:val="Основной текст51"/>
    <w:link w:val="117"/>
    <w:qFormat/>
    <w:uiPriority w:val="0"/>
    <w:rPr>
      <w:rFonts w:ascii="Times New Roman" w:hAnsi="Times New Roman"/>
      <w:sz w:val="23"/>
    </w:rPr>
  </w:style>
  <w:style w:type="paragraph" w:customStyle="1" w:styleId="119">
    <w:name w:val="Название1"/>
    <w:basedOn w:val="1"/>
    <w:next w:val="1"/>
    <w:link w:val="120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20">
    <w:name w:val="Название11"/>
    <w:link w:val="119"/>
    <w:qFormat/>
    <w:uiPriority w:val="0"/>
    <w:rPr>
      <w:color w:val="59473F"/>
      <w:spacing w:val="5"/>
      <w:sz w:val="52"/>
    </w:rPr>
  </w:style>
  <w:style w:type="paragraph" w:styleId="121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customStyle="1" w:styleId="122">
    <w:name w:val="Style31"/>
    <w:basedOn w:val="1"/>
    <w:link w:val="123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3">
    <w:name w:val="Style311"/>
    <w:link w:val="122"/>
    <w:qFormat/>
    <w:uiPriority w:val="0"/>
    <w:rPr>
      <w:rFonts w:ascii="Times New Roman" w:hAnsi="Times New Roman"/>
      <w:sz w:val="24"/>
    </w:rPr>
  </w:style>
  <w:style w:type="paragraph" w:customStyle="1" w:styleId="124">
    <w:name w:val="TOC Heading"/>
    <w:basedOn w:val="2"/>
    <w:next w:val="1"/>
    <w:link w:val="125"/>
    <w:qFormat/>
    <w:uiPriority w:val="0"/>
    <w:pPr>
      <w:outlineLvl w:val="8"/>
    </w:pPr>
  </w:style>
  <w:style w:type="character" w:customStyle="1" w:styleId="125">
    <w:name w:val="TOC Heading1"/>
    <w:link w:val="124"/>
    <w:qFormat/>
    <w:uiPriority w:val="0"/>
  </w:style>
  <w:style w:type="paragraph" w:customStyle="1" w:styleId="126">
    <w:name w:val="Заголовок №73"/>
    <w:link w:val="1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127">
    <w:name w:val="Заголовок №731"/>
    <w:link w:val="126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128">
    <w:name w:val="Заголовок №51"/>
    <w:basedOn w:val="1"/>
    <w:link w:val="129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29">
    <w:name w:val="Заголовок №511"/>
    <w:link w:val="128"/>
    <w:qFormat/>
    <w:uiPriority w:val="0"/>
    <w:rPr>
      <w:rFonts w:ascii="Times New Roman" w:hAnsi="Times New Roman"/>
      <w:b/>
      <w:sz w:val="27"/>
    </w:rPr>
  </w:style>
  <w:style w:type="paragraph" w:customStyle="1" w:styleId="130">
    <w:name w:val="Заголовок №71"/>
    <w:basedOn w:val="1"/>
    <w:link w:val="131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131">
    <w:name w:val="Заголовок №711"/>
    <w:link w:val="130"/>
    <w:qFormat/>
    <w:uiPriority w:val="0"/>
    <w:rPr>
      <w:rFonts w:ascii="Times New Roman" w:hAnsi="Times New Roman"/>
      <w:b/>
      <w:sz w:val="27"/>
    </w:rPr>
  </w:style>
  <w:style w:type="paragraph" w:customStyle="1" w:styleId="132">
    <w:name w:val="Font Style77"/>
    <w:link w:val="13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33">
    <w:name w:val="Font Style771"/>
    <w:link w:val="132"/>
    <w:qFormat/>
    <w:uiPriority w:val="0"/>
    <w:rPr>
      <w:rFonts w:ascii="Times New Roman" w:hAnsi="Times New Roman"/>
      <w:sz w:val="22"/>
    </w:rPr>
  </w:style>
  <w:style w:type="paragraph" w:customStyle="1" w:styleId="134">
    <w:name w:val="Font Style30"/>
    <w:link w:val="13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35">
    <w:name w:val="Font Style301"/>
    <w:link w:val="134"/>
    <w:qFormat/>
    <w:uiPriority w:val="0"/>
    <w:rPr>
      <w:rFonts w:ascii="Times New Roman" w:hAnsi="Times New Roman"/>
      <w:b/>
      <w:sz w:val="26"/>
    </w:rPr>
  </w:style>
  <w:style w:type="paragraph" w:customStyle="1" w:styleId="136">
    <w:name w:val="Основной текст с отступом 21"/>
    <w:basedOn w:val="1"/>
    <w:link w:val="137"/>
    <w:qFormat/>
    <w:uiPriority w:val="0"/>
    <w:pPr>
      <w:widowControl w:val="0"/>
      <w:spacing w:after="0" w:line="240" w:lineRule="auto"/>
      <w:ind w:left="0" w:firstLine="567"/>
      <w:jc w:val="both"/>
    </w:pPr>
    <w:rPr>
      <w:rFonts w:ascii="Times New Roman" w:hAnsi="Times New Roman"/>
      <w:sz w:val="28"/>
    </w:rPr>
  </w:style>
  <w:style w:type="character" w:customStyle="1" w:styleId="137">
    <w:name w:val="Основной текст с отступом 211"/>
    <w:link w:val="136"/>
    <w:qFormat/>
    <w:uiPriority w:val="0"/>
    <w:rPr>
      <w:rFonts w:ascii="Times New Roman" w:hAnsi="Times New Roman"/>
      <w:sz w:val="28"/>
    </w:rPr>
  </w:style>
  <w:style w:type="paragraph" w:customStyle="1" w:styleId="138">
    <w:name w:val="Font Style76"/>
    <w:link w:val="13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39">
    <w:name w:val="Font Style761"/>
    <w:link w:val="138"/>
    <w:qFormat/>
    <w:uiPriority w:val="0"/>
    <w:rPr>
      <w:rFonts w:ascii="Times New Roman" w:hAnsi="Times New Roman"/>
      <w:sz w:val="26"/>
    </w:rPr>
  </w:style>
  <w:style w:type="paragraph" w:customStyle="1" w:styleId="140">
    <w:name w:val="Заголовок №72"/>
    <w:link w:val="1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141">
    <w:name w:val="Заголовок №721"/>
    <w:link w:val="140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142">
    <w:name w:val="Основной текст + Курсив2"/>
    <w:link w:val="14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143">
    <w:name w:val="Основной текст + Курсив21"/>
    <w:link w:val="142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144">
    <w:name w:val="Intense Emphasis"/>
    <w:link w:val="145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45">
    <w:name w:val="Intense Emphasis1"/>
    <w:link w:val="144"/>
    <w:qFormat/>
    <w:uiPriority w:val="0"/>
    <w:rPr>
      <w:b/>
      <w:i/>
      <w:color w:val="94B6D2"/>
    </w:rPr>
  </w:style>
  <w:style w:type="paragraph" w:customStyle="1" w:styleId="146">
    <w:name w:val="_Style 184"/>
    <w:basedOn w:val="1"/>
    <w:next w:val="40"/>
    <w:link w:val="147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47">
    <w:name w:val="_Style 185"/>
    <w:link w:val="146"/>
    <w:semiHidden/>
    <w:unhideWhenUsed/>
    <w:qFormat/>
    <w:uiPriority w:val="0"/>
    <w:rPr>
      <w:rFonts w:ascii="Times New Roman" w:hAnsi="Times New Roman"/>
      <w:sz w:val="24"/>
    </w:rPr>
  </w:style>
  <w:style w:type="paragraph" w:customStyle="1" w:styleId="148">
    <w:name w:val="Основной текст (2) + Полужирный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149">
    <w:name w:val="Основной текст (2) + Полужирный1"/>
    <w:link w:val="148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150">
    <w:name w:val="Font Style75"/>
    <w:link w:val="1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51">
    <w:name w:val="Font Style751"/>
    <w:link w:val="150"/>
    <w:qFormat/>
    <w:uiPriority w:val="0"/>
    <w:rPr>
      <w:rFonts w:ascii="Times New Roman" w:hAnsi="Times New Roman"/>
      <w:b/>
      <w:sz w:val="26"/>
    </w:rPr>
  </w:style>
  <w:style w:type="paragraph" w:customStyle="1" w:styleId="152">
    <w:name w:val="Основной текст (39)"/>
    <w:link w:val="1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53">
    <w:name w:val="Основной текст (39)2"/>
    <w:link w:val="152"/>
    <w:qFormat/>
    <w:uiPriority w:val="0"/>
    <w:rPr>
      <w:rFonts w:ascii="Times New Roman" w:hAnsi="Times New Roman"/>
      <w:i/>
      <w:highlight w:val="white"/>
      <w:u w:val="single"/>
    </w:rPr>
  </w:style>
  <w:style w:type="table" w:customStyle="1" w:styleId="154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2025-07-29T04:53:00Z</dcterms:created>
  <dc:creator>mariy</dc:creator>
  <cp:lastModifiedBy>mariy</cp:lastModifiedBy>
  <dcterms:modified xsi:type="dcterms:W3CDTF">2025-07-31T12:43:49Z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2E8EE9D69CA444CCA92DB6530BC023FD_12</vt:lpwstr>
  </property>
</Properties>
</file>