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Автономная некоммерческая организация </w:t>
      </w:r>
      <w:r>
        <w:rPr>
          <w:rFonts w:ascii="Cambria" w:hAnsi="Cambria"/>
          <w:b/>
          <w:sz w:val="28"/>
        </w:rPr>
      </w:r>
    </w:p>
    <w:p>
      <w:pPr>
        <w:pStyle w:val="736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36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36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36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2"/>
        <w:jc w:val="center"/>
        <w:spacing w:before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Энергетическое право.</w:t>
      </w:r>
      <w:r>
        <w:rPr>
          <w:rFonts w:hint="default" w:ascii="Times New Roman" w:hAnsi="Times New Roman"/>
          <w:b/>
          <w:sz w:val="28"/>
          <w:lang w:val="ru-RU"/>
        </w:rPr>
        <w:t xml:space="preserve"> Международно</w:t>
      </w:r>
      <w:r>
        <w:rPr>
          <w:rFonts w:ascii="Times New Roman" w:hAnsi="Times New Roman"/>
          <w:b/>
          <w:sz w:val="28"/>
        </w:rPr>
        <w:t xml:space="preserve">-правовые отношения</w:t>
      </w:r>
      <w:r>
        <w:rPr>
          <w:rFonts w:ascii="Times New Roman" w:hAnsi="Times New Roman"/>
          <w:b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04"/>
        <w:tblW w:w="96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751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6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6"/>
        <w:jc w:val="center"/>
        <w:rPr>
          <w:rFonts w:asciiTheme="minorAscii" w:hAnsiTheme="minorHAnsi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202</w:t>
      </w:r>
      <w:r>
        <w:rPr>
          <w:rFonts w:ascii="Times New Roman" w:hAnsi="Times New Roman"/>
          <w:b w:val="0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4</w:t>
      </w: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ascii="Times New Roman" w:hAnsi="Times New Roman"/>
          <w:b w:val="0"/>
        </w:rPr>
        <w:br w:type="page" w:clear="all"/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81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r/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_Toc70 </w:instrText>
      </w:r>
      <w:r>
        <w:fldChar w:fldCharType="separate"/>
      </w:r>
      <w:r>
        <w:rPr>
          <w:rFonts w:ascii="Times New Roman" w:hAnsi="Times New Roman"/>
        </w:rPr>
        <w:t xml:space="preserve">1.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 xml:space="preserve"> PAGEREF _Toc70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_Toc27570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_Toc27570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_Toc28466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 компетенций</w:t>
      </w:r>
      <w:r>
        <w:tab/>
      </w:r>
      <w:r>
        <w:fldChar w:fldCharType="begin"/>
      </w:r>
      <w:r>
        <w:instrText xml:space="preserve"> PAGEREF _Toc28466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_Toc23123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_Toc23123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_Toc9021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_Toc9021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6"/>
        <w:tabs>
          <w:tab w:val="right" w:pos="9654" w:leader="dot"/>
        </w:tabs>
      </w:pPr>
      <w:r>
        <w:fldChar w:fldCharType="begin"/>
      </w:r>
      <w:r>
        <w:instrText xml:space="preserve"> HYPERLINK \l _Toc10250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контроля.</w:t>
      </w:r>
      <w:r>
        <w:tab/>
      </w:r>
      <w:r>
        <w:fldChar w:fldCharType="begin"/>
      </w:r>
      <w:r>
        <w:instrText xml:space="preserve"> PAGEREF _Toc10250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6"/>
        <w:tabs>
          <w:tab w:val="right" w:pos="9654" w:leader="dot"/>
        </w:tabs>
      </w:pPr>
      <w:r>
        <w:fldChar w:fldCharType="begin"/>
      </w:r>
      <w:r>
        <w:instrText xml:space="preserve"> HYPERLINK \l _Toc16312 </w:instrText>
      </w:r>
      <w:r>
        <w:fldChar w:fldCharType="separate"/>
      </w:r>
      <w:r>
        <w:rPr>
          <w:rFonts w:ascii="Times New Roman" w:hAnsi="Times New Roman"/>
        </w:rPr>
        <w:t xml:space="preserve">Темы докладов, контрольных работ, коллоквиумов, дискуссий:</w:t>
      </w:r>
      <w:r>
        <w:tab/>
      </w:r>
      <w:r>
        <w:fldChar w:fldCharType="begin"/>
      </w:r>
      <w:r>
        <w:instrText xml:space="preserve"> PAGEREF _Toc16312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6"/>
        <w:tabs>
          <w:tab w:val="right" w:pos="9654" w:leader="dot"/>
        </w:tabs>
      </w:pPr>
      <w:r>
        <w:fldChar w:fldCharType="begin"/>
      </w:r>
      <w:r>
        <w:instrText xml:space="preserve"> HYPERLINK \l _Toc30819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</w:rPr>
        <w:t xml:space="preserve">1.1. Промежуточная аттестация</w:t>
      </w:r>
      <w:r>
        <w:tab/>
      </w:r>
      <w:r>
        <w:fldChar w:fldCharType="begin"/>
      </w:r>
      <w:r>
        <w:instrText xml:space="preserve"> PAGEREF _Toc30819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_Toc14707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2. </w:t>
      </w:r>
      <w:r>
        <w:rPr>
          <w:rFonts w:ascii="Times New Roman" w:hAnsi="Times New Roman"/>
        </w:rPr>
        <w:t xml:space="preserve">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_Toc14707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_Toc13949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3. </w:t>
      </w:r>
      <w:r>
        <w:rPr>
          <w:rFonts w:ascii="Times New Roman" w:hAnsi="Times New Roman"/>
        </w:rPr>
        <w:t xml:space="preserve">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_Toc13949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_Toc14943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_Toc14943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23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_Toc19116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_Toc19116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pStyle w:val="723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3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3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3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3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3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3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br w:type="page" w:clear="all"/>
      </w:r>
      <w:r>
        <w:rPr>
          <w:sz w:val="24"/>
        </w:rPr>
      </w:r>
    </w:p>
    <w:p>
      <w:pPr>
        <w:pStyle w:val="723"/>
        <w:jc w:val="both"/>
        <w:tabs>
          <w:tab w:val="left" w:pos="440" w:leader="none"/>
          <w:tab w:val="right" w:pos="9345" w:leader="dot"/>
        </w:tabs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</w:r>
    </w:p>
    <w:p>
      <w:pPr>
        <w:pStyle w:val="736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70"/>
      <w:r>
        <w:rPr>
          <w:rFonts w:ascii="Times New Roman" w:hAnsi="Times New Roman"/>
          <w:b/>
          <w:sz w:val="24"/>
        </w:rPr>
        <w:t xml:space="preserve">Перечень компетенций и этапы их формирования в процессе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36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диисциплины «Энергетическое право. </w:t>
      </w:r>
      <w:r>
        <w:rPr>
          <w:rFonts w:ascii="Times New Roman" w:hAnsi="Times New Roman"/>
          <w:sz w:val="24"/>
          <w:lang w:val="ru-RU"/>
        </w:rPr>
        <w:t xml:space="preserve">Международно</w:t>
      </w:r>
      <w:r>
        <w:rPr>
          <w:rFonts w:ascii="Times New Roman" w:hAnsi="Times New Roman"/>
          <w:sz w:val="24"/>
        </w:rPr>
        <w:t xml:space="preserve">-правовые отношения»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ind w:left="20" w:firstLine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</w:t>
      </w:r>
      <w:r>
        <w:rPr>
          <w:rFonts w:hint="default" w:ascii="Times New Roman" w:hAnsi="Times New Roman"/>
          <w:sz w:val="24"/>
          <w:lang w:val="ru-RU"/>
        </w:rPr>
        <w:t xml:space="preserve"> знания, умения и навыки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Результаты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70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</w:t>
            </w:r>
            <w:r>
              <w:rPr>
                <w:rFonts w:ascii="Times New Roman" w:hAnsi="Times New Roman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приемами проведения научных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осуществлять поиск, толкование и прим</w:t>
            </w:r>
            <w:r>
              <w:rPr>
                <w:rFonts w:ascii="Times New Roman" w:hAnsi="Times New Roman"/>
                <w:sz w:val="24"/>
              </w:rPr>
              <w:t xml:space="preserve">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языке.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грамотно обосновывать и выражать со</w:t>
            </w:r>
            <w:r>
              <w:rPr>
                <w:rFonts w:ascii="Times New Roman" w:hAnsi="Times New Roman"/>
                <w:sz w:val="24"/>
              </w:rPr>
              <w:t xml:space="preserve">бственное мнение по сравнительно-правовой научной проблематике, выбирать и правильно применять необходимые методы сравнительно-правового исследования, разрабатывать новые методы, исходя из специфики конкретного исследования вопросов энергетического права.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исследования и применения</w:t>
            </w:r>
            <w:r>
              <w:rPr>
                <w:rFonts w:ascii="Times New Roman" w:hAnsi="Times New Roman"/>
                <w:sz w:val="24"/>
              </w:rPr>
              <w:t xml:space="preserve">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способностью к организации и управлению работой исследовательского коллектива при решении исследовательских задач в области энергетического  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актуальными методами проведения научных исследований и решения исследовательских задач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1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программы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основные направления, проблемы, теории и методы энергетического законодательства;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проводит обработку и анализ данных, необходимых для оценки действующего энергетического законодательства;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проверяет соответствие выдвинутых гипотез полученному результату самостоятельного исследования при решении образовательной задачи;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формирует и аргументированно отстаивает собственную позицию по различным проблемам правового характера;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подготовку научных рефератов и презентаций, объясняет свою точку зрения и рассказывает о своих планах.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2" w:name="_Toc27570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0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16"/>
        <w:gridCol w:w="1786"/>
        <w:gridCol w:w="2396"/>
        <w:gridCol w:w="1643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80"/>
              <w:contextualSpacing/>
              <w:spacing w:line="240" w:lineRule="auto"/>
              <w:rPr>
                <w:i w:val="0"/>
              </w:rPr>
            </w:pPr>
            <w:r>
              <w:rPr>
                <w:rStyle w:val="763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54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</w:pPr>
            <w:r>
              <w:rPr>
                <w:rStyle w:val="831"/>
                <w:sz w:val="20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  <w:rPr>
                <w:rStyle w:val="831"/>
                <w:sz w:val="20"/>
              </w:rPr>
            </w:pPr>
            <w:r>
              <w:rPr>
                <w:rStyle w:val="831"/>
                <w:sz w:val="20"/>
              </w:rPr>
              <w:t xml:space="preserve">Форма проведения оценки</w:t>
            </w:r>
            <w:r>
              <w:rPr>
                <w:rStyle w:val="831"/>
                <w:sz w:val="20"/>
              </w:rPr>
            </w:r>
          </w:p>
          <w:p>
            <w:pPr>
              <w:pStyle w:val="754"/>
              <w:contextualSpacing/>
              <w:jc w:val="center"/>
              <w:spacing w:line="240" w:lineRule="auto"/>
              <w:rPr>
                <w:rStyle w:val="831"/>
                <w:sz w:val="20"/>
              </w:rPr>
            </w:pPr>
            <w:r>
              <w:rPr>
                <w:sz w:val="20"/>
              </w:rPr>
            </w:r>
            <w:r>
              <w:rPr>
                <w:rStyle w:val="831"/>
                <w:sz w:val="20"/>
              </w:rPr>
            </w:r>
          </w:p>
          <w:p>
            <w:pPr>
              <w:pStyle w:val="754"/>
              <w:contextualSpacing/>
              <w:jc w:val="center"/>
              <w:spacing w:line="240" w:lineRule="auto"/>
              <w:rPr>
                <w:rStyle w:val="831"/>
                <w:sz w:val="20"/>
              </w:rPr>
            </w:pPr>
            <w:r>
              <w:rPr>
                <w:rStyle w:val="831"/>
                <w:sz w:val="20"/>
              </w:rPr>
              <w:t xml:space="preserve">Устная/</w:t>
            </w:r>
            <w:r>
              <w:rPr>
                <w:rStyle w:val="831"/>
                <w:sz w:val="20"/>
              </w:rPr>
            </w:r>
          </w:p>
          <w:p>
            <w:pPr>
              <w:pStyle w:val="754"/>
              <w:contextualSpacing/>
              <w:jc w:val="center"/>
              <w:spacing w:line="240" w:lineRule="auto"/>
              <w:rPr>
                <w:rStyle w:val="831"/>
                <w:sz w:val="20"/>
              </w:rPr>
            </w:pPr>
            <w:r>
              <w:rPr>
                <w:rStyle w:val="831"/>
                <w:sz w:val="20"/>
              </w:rPr>
              <w:t xml:space="preserve">письменная</w:t>
            </w:r>
            <w:r>
              <w:rPr>
                <w:rStyle w:val="831"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  <w:rPr>
                <w:rStyle w:val="831"/>
                <w:sz w:val="22"/>
              </w:rPr>
            </w:pPr>
            <w:r>
              <w:rPr>
                <w:rStyle w:val="831"/>
                <w:sz w:val="22"/>
              </w:rPr>
              <w:t xml:space="preserve">4</w:t>
            </w:r>
            <w:r>
              <w:rPr>
                <w:rStyle w:val="83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754"/>
              <w:contextualSpacing/>
              <w:jc w:val="center"/>
              <w:spacing w:line="240" w:lineRule="auto"/>
              <w:rPr>
                <w:rStyle w:val="831"/>
                <w:sz w:val="22"/>
              </w:rPr>
            </w:pPr>
            <w:r>
              <w:rPr>
                <w:rStyle w:val="831"/>
                <w:sz w:val="22"/>
              </w:rPr>
              <w:t xml:space="preserve">5</w:t>
            </w:r>
            <w:r>
              <w:rPr>
                <w:rStyle w:val="831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Style w:val="843"/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rStyle w:val="843"/>
                <w:b w:val="0"/>
                <w:sz w:val="24"/>
              </w:rPr>
            </w:r>
          </w:p>
          <w:p>
            <w:pPr>
              <w:contextualSpacing/>
              <w:spacing w:after="0" w:line="240" w:lineRule="auto"/>
              <w:rPr>
                <w:rStyle w:val="843"/>
                <w:b w:val="0"/>
                <w:sz w:val="24"/>
              </w:rPr>
            </w:pPr>
            <w:r>
              <w:rPr>
                <w:rStyle w:val="843"/>
                <w:b w:val="0"/>
                <w:sz w:val="24"/>
              </w:rPr>
              <w:t xml:space="preserve">Тема 1. </w:t>
            </w:r>
            <w:r>
              <w:rPr>
                <w:rStyle w:val="843"/>
                <w:b w:val="0"/>
                <w:sz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843"/>
                <w:b w:val="0"/>
                <w:sz w:val="24"/>
              </w:rPr>
              <w:t xml:space="preserve">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 xml:space="preserve">Эволюция источников энергетического права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теории энергетического права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СЗ:/доклад/ 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</w:rPr>
              <w:t xml:space="preserve">-правовых отношений в сфере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</w:rPr>
              <w:t xml:space="preserve">-правовых отношений в сфере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СЗ:/доклад/ дискуссия/ коллоквиум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 Проблемы правового регулирования общественных отношений в отдельных отраслях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37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СЗ:/доклад/ дискуссия/ контрольная работа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37"/>
              <w:contextualSpacing/>
              <w:jc w:val="center"/>
              <w:rPr>
                <w:rStyle w:val="831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  <w:r>
              <w:rPr>
                <w:rStyle w:val="83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к экзамену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3" w:name="page8"/>
      <w:r/>
      <w:bookmarkEnd w:id="3"/>
      <w:r/>
      <w:r>
        <w:rPr>
          <w:rFonts w:ascii="Times New Roman" w:hAnsi="Times New Roman"/>
          <w:b/>
          <w:sz w:val="24"/>
        </w:rPr>
      </w:r>
    </w:p>
    <w:p>
      <w:pPr>
        <w:pStyle w:val="736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4" w:name="_Toc28466"/>
      <w:r>
        <w:rPr>
          <w:rFonts w:ascii="Times New Roman" w:hAnsi="Times New Roman"/>
          <w:b/>
          <w:sz w:val="24"/>
        </w:rPr>
        <w:t xml:space="preserve">Показатели и критерии оценки компетенций</w:t>
      </w:r>
      <w:bookmarkEnd w:id="4"/>
      <w:r/>
      <w:r>
        <w:rPr>
          <w:rFonts w:ascii="Times New Roman" w:hAnsi="Times New Roman"/>
          <w:sz w:val="24"/>
        </w:rPr>
      </w:r>
    </w:p>
    <w:p>
      <w:pPr>
        <w:pStyle w:val="736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6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36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0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 по дисциплине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hint="default" w:ascii="Times New Roman" w:hAnsi="Times New Roman"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36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6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0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sz w:val="24"/>
        </w:rPr>
        <w:t xml:space="preserve">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максимально возможная выраженность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 </w:t>
      </w:r>
      <w:r>
        <w:rPr>
          <w:rFonts w:ascii="Times New Roman" w:hAnsi="Times New Roman"/>
          <w:sz w:val="24"/>
        </w:rPr>
        <w:t xml:space="preserve">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6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3123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spacing w:before="120" w:after="12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навыков.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0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4"/>
        <w:gridCol w:w="8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sz w:val="22"/>
              </w:rPr>
            </w:r>
          </w:p>
          <w:p>
            <w:pPr>
              <w:pStyle w:val="7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sz w:val="22"/>
              </w:rPr>
            </w:r>
          </w:p>
          <w:p>
            <w:pPr>
              <w:pStyle w:val="7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sz w:val="22"/>
              </w:rPr>
            </w:r>
          </w:p>
          <w:p>
            <w:pPr>
              <w:pStyle w:val="7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sz w:val="22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803"/>
        <w:ind w:left="0" w:firstLine="706"/>
        <w:spacing w:line="240" w:lineRule="auto"/>
        <w:widowControl/>
        <w:rPr>
          <w:rStyle w:val="831"/>
        </w:rPr>
      </w:pPr>
      <w:r/>
      <w:r>
        <w:rPr>
          <w:rStyle w:val="831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803"/>
        <w:ind w:left="0" w:firstLine="0"/>
        <w:spacing w:line="240" w:lineRule="auto"/>
        <w:widowControl/>
        <w:rPr>
          <w:rStyle w:val="827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827"/>
          <w:b w:val="0"/>
          <w:i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27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827"/>
          <w:b w:val="0"/>
          <w:i/>
          <w:sz w:val="24"/>
        </w:rPr>
      </w:r>
    </w:p>
    <w:p>
      <w:pPr>
        <w:pStyle w:val="736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9021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pStyle w:val="736"/>
        <w:numPr>
          <w:ilvl w:val="1"/>
          <w:numId w:val="1"/>
        </w:numPr>
        <w:contextualSpacing w:val="0"/>
        <w:ind w:left="1446" w:firstLine="0"/>
        <w:jc w:val="both"/>
        <w:spacing w:after="24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7" w:name="_Toc10250"/>
      <w:r>
        <w:rPr>
          <w:rFonts w:ascii="Times New Roman" w:hAnsi="Times New Roman"/>
          <w:b/>
          <w:sz w:val="24"/>
        </w:rPr>
        <w:t xml:space="preserve">Задания для текущего контроля.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pStyle w:val="736"/>
        <w:ind w:left="1088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8" w:name="_Toc16312"/>
      <w:r>
        <w:rPr>
          <w:rFonts w:ascii="Times New Roman" w:hAnsi="Times New Roman"/>
          <w:b/>
          <w:sz w:val="24"/>
        </w:rPr>
        <w:t xml:space="preserve">Темы докладов, контрольных работ, коллоквиумов, дискуссий: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36"/>
        <w:ind w:left="1088" w:firstLine="0"/>
        <w:jc w:val="both"/>
        <w:spacing w:after="0" w:line="240" w:lineRule="auto"/>
        <w:rPr>
          <w:rFonts w:hint="default" w:ascii="Times New Roman" w:hAnsi="Times New Roman"/>
          <w:b/>
          <w:sz w:val="24"/>
        </w:rPr>
        <w:outlineLvl w:val="1"/>
      </w:pPr>
      <w:r>
        <w:rPr>
          <w:rFonts w:hint="default" w:ascii="Times New Roman" w:hAnsi="Times New Roman"/>
          <w:b/>
          <w:sz w:val="24"/>
        </w:rPr>
      </w:r>
      <w:r>
        <w:rPr>
          <w:rFonts w:hint="default" w:ascii="Times New Roman" w:hAnsi="Times New Roman"/>
          <w:b/>
          <w:sz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Международный энергетический правопорядок: текущ</w:t>
      </w:r>
      <w:bookmarkStart w:id="15" w:name="_GoBack"/>
      <w:r/>
      <w:bookmarkEnd w:id="15"/>
      <w:r>
        <w:rPr>
          <w:rFonts w:hint="default" w:ascii="Times New Roman" w:hAnsi="Times New Roman" w:cs="Times New Roman"/>
          <w:sz w:val="24"/>
          <w:szCs w:val="24"/>
        </w:rPr>
        <w:t xml:space="preserve">ее состояние и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Международно-правовое регулирование в области изменения климата.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Международные энергетические рынки: проблемы правового обеспечения.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Международные договоры как источник энергетического права.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Правовое регулирование экспорта энергетических ресурсов.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Обычаи как источник международного энергетического права.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Модели государственно-частногопартнерства при реализации международных инфраструктурных проектов.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2"/>
        </w:numPr>
        <w:ind w:left="993" w:hanging="423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Международные организации в сфере энергетики. Цели создания и полномочия..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  <w:outlineLvl w:val="1"/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36"/>
        <w:numPr>
          <w:ilvl w:val="1"/>
          <w:numId w:val="3"/>
        </w:numPr>
        <w:contextualSpacing w:val="0"/>
        <w:ind w:left="1446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  <w:outlineLvl w:val="1"/>
      </w:pPr>
      <w:r/>
      <w:bookmarkStart w:id="9" w:name="_Toc30819"/>
      <w:r>
        <w:rPr>
          <w:rFonts w:hint="default" w:ascii="Times New Roman" w:hAnsi="Times New Roman" w:cs="Times New Roman"/>
          <w:b/>
          <w:sz w:val="24"/>
          <w:szCs w:val="24"/>
        </w:rPr>
        <w:t xml:space="preserve">Промежуточная аттестация</w:t>
      </w:r>
      <w:bookmarkEnd w:id="9"/>
      <w:r/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Критериями оценки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</w:r>
      <w:r>
        <w:rPr>
          <w:rFonts w:hint="default" w:ascii="Times New Roman" w:hAnsi="Times New Roman" w:cs="Times New Roman"/>
          <w:color w:val="000000"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before="0" w:after="0"/>
        <w:widowControl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вопросы для экзамена: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Понятие и  предмет энергетического права.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Методы и принципы энергетического права.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Понятие и разновидности энергетических рынков.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Понятие энергетической безопасности, цели и задачи правового обеспечения энергетической безопасности.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Общая характеристика источников энергетического права.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Международный энергетический правопорядок: текущее состояние и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Межгосударственные договоры как источник энергетического права. Общая характеристика.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Межправительственные договоры как источник энергетического права. Общая характеристика.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Международные договоры межведомственного характера как источник энергетического права. Общая характеристика.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Сфера применения и основные положения Конвенции о предупреждении крупных промышленных аварий.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Рамочной конвенции Организации Объединенных Наций об изменении климата.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Парижского соглашения (по климату).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Венской конвенции о гражданской ответственности за ядерный ущерб.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Конвенции о физической защите ядерного материала.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Конвенции о ядерной безопасности.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Конвенции об оперативном оповещении о ядерной аварии.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Конвенции о помощи в случае ядерной аварии или радиационной аварийной ситуации.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Объединенной конвенции о безопасности обращения с отработавшим топливом и о безопасности обращения с радиоактивными отходами.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Международной конвенции о гражданской ответственности за ущерб от загрязнения нефтью.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Международной конвенции по обеспечению готовности на случай загрязнения нефтью, борьбе с ним и сотрудничеству.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Международной конвенции о гражданской ответственности за ущерб от загрязнения бункерным топливом .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Принципы и порядок формирования общего рынка газа Евразийского экономического союза.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Принципы и порядок формирования общих рынков нефти и нефтепродуктов Евразийского экономического союза.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Принципы и порядок формирования общего электроэнергетического рынка Евразийского экономического союза.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Основные положения Соглашения между Правительством Российской Федерации и Правительством Турецкой Республики по проекту газопровода "Турецкий поток"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Основные положения Соглашения между Правительством Российской Федерации и Правительством Турецкой Республики о сотрудничестве в сфере строительства и эксплуатации атомной электростанции на площадке "Аккую" в Турецкой Республике.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Международные организации в сфере энергетики. Общая характеристика.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contextualSpacing/>
        <w:ind w:left="1134" w:hanging="498"/>
        <w:jc w:val="both"/>
        <w:tabs>
          <w:tab w:val="left" w:pos="36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Полномочия Международного агентства по атомной энергии (МАГАТЭ)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Обычаи как источник международного энергетического права. 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Особенности правового регулирования экспорта энергетических ресурсов.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6"/>
        <w:ind w:left="0" w:firstLine="851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36"/>
        <w:ind w:left="0" w:firstLine="851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знаний в области энергетического права и </w:t>
      </w:r>
      <w:r>
        <w:rPr>
          <w:rFonts w:ascii="Times New Roman" w:hAnsi="Times New Roman"/>
          <w:color w:val="000000"/>
          <w:sz w:val="24"/>
          <w:lang w:val="ru-RU"/>
        </w:rPr>
        <w:t xml:space="preserve">частно</w:t>
      </w:r>
      <w:r>
        <w:rPr>
          <w:rFonts w:ascii="Times New Roman" w:hAnsi="Times New Roman"/>
          <w:color w:val="000000"/>
          <w:sz w:val="24"/>
        </w:rPr>
        <w:t xml:space="preserve">-правовых отношений. На экзамене членами приемной комиссией могут быть заданы дополнительные или уточняющие вопросы.</w:t>
      </w:r>
      <w:r>
        <w:rPr>
          <w:rFonts w:ascii="Times New Roman" w:hAnsi="Times New Roman"/>
          <w:color w:val="000000"/>
          <w:sz w:val="24"/>
        </w:rPr>
      </w:r>
    </w:p>
    <w:p>
      <w:pPr>
        <w:pStyle w:val="736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6"/>
        <w:numPr>
          <w:ilvl w:val="0"/>
          <w:numId w:val="3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0" w:name="_Toc14707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sz w:val="24"/>
        </w:rPr>
        <w:t xml:space="preserve">Процедура оценивания результатов обучения по дисциплине характеризующих этапы</w:t>
      </w:r>
      <w:r>
        <w:rPr>
          <w:rStyle w:val="831"/>
          <w:rFonts w:hint="default"/>
          <w:sz w:val="24"/>
          <w:lang w:val="ru-RU"/>
        </w:rPr>
        <w:t xml:space="preserve"> освоения дисциплины</w:t>
      </w:r>
      <w:r>
        <w:rPr>
          <w:rStyle w:val="831"/>
          <w:sz w:val="24"/>
        </w:rPr>
        <w:t xml:space="preserve">, представлена паспортом фонда оценочных средств по дисциплине (раздел 1).</w:t>
      </w:r>
      <w:r>
        <w:rPr>
          <w:rStyle w:val="831"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sz w:val="24"/>
        </w:rPr>
        <w:t xml:space="preserve">Комплект оценочных средств х</w:t>
      </w:r>
      <w:r>
        <w:rPr>
          <w:rStyle w:val="831"/>
          <w:sz w:val="24"/>
        </w:rPr>
        <w:t xml:space="preserve">ранится в Центре, подлежит обновлению по мере необходимости.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  <w:r>
        <w:rPr>
          <w:rStyle w:val="831"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b/>
          <w:sz w:val="24"/>
        </w:rPr>
        <w:t xml:space="preserve">Порядок проведения текущего контроля</w:t>
      </w:r>
      <w:r>
        <w:rPr>
          <w:rStyle w:val="831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31"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b/>
          <w:sz w:val="24"/>
        </w:rPr>
        <w:t xml:space="preserve">Текущий контроль</w:t>
      </w:r>
      <w:r>
        <w:rPr>
          <w:rStyle w:val="831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31"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31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31"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sz w:val="24"/>
        </w:rPr>
        <w:t xml:space="preserve">Педагогические виды и формы, испо</w:t>
      </w:r>
      <w:r>
        <w:rPr>
          <w:rStyle w:val="831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31"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31"/>
          <w:sz w:val="24"/>
        </w:rPr>
      </w:r>
    </w:p>
    <w:p>
      <w:pPr>
        <w:pStyle w:val="803"/>
        <w:ind w:left="0" w:firstLine="706"/>
        <w:spacing w:line="240" w:lineRule="auto"/>
        <w:widowControl/>
        <w:rPr>
          <w:rStyle w:val="831"/>
          <w:sz w:val="24"/>
        </w:rPr>
      </w:pPr>
      <w:r>
        <w:rPr>
          <w:rStyle w:val="831"/>
          <w:sz w:val="24"/>
        </w:rPr>
        <w:t xml:space="preserve">При аттестации обучающихся учитываются следующие факторы:</w:t>
      </w:r>
      <w:r>
        <w:rPr>
          <w:rStyle w:val="831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31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pStyle w:val="803"/>
        <w:ind w:left="0" w:firstLine="706"/>
        <w:spacing w:line="240" w:lineRule="auto"/>
        <w:widowControl/>
      </w:pPr>
      <w:r>
        <w:rPr>
          <w:rStyle w:val="831"/>
          <w:b/>
          <w:sz w:val="24"/>
        </w:rPr>
        <w:t xml:space="preserve">Промежуточная аттестация</w:t>
      </w:r>
      <w:r>
        <w:rPr>
          <w:rStyle w:val="831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/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6"/>
        <w:numPr>
          <w:ilvl w:val="0"/>
          <w:numId w:val="3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1" w:name="_Toc13949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1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4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2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14943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4" w:name="_Toc19116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4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b/>
          <w:sz w:val="24"/>
        </w:rPr>
      </w:r>
    </w:p>
    <w:sectPr>
      <w:footerReference w:type="default" r:id="rId9"/>
      <w:footnotePr/>
      <w:endnotePr/>
      <w:type w:val="nextPage"/>
      <w:pgSz w:w="11907" w:h="16839" w:orient="portrait"/>
      <w:pgMar w:top="1147" w:right="977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1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hint="default" w:ascii="Times New Roman" w:hAnsi="Times New Roman"/>
        <w:b w:val="0"/>
        <w:bCs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3"/>
    <w:link w:val="730"/>
    <w:uiPriority w:val="10"/>
    <w:rPr>
      <w:sz w:val="48"/>
      <w:szCs w:val="48"/>
    </w:rPr>
  </w:style>
  <w:style w:type="character" w:styleId="37">
    <w:name w:val="Subtitle Char"/>
    <w:basedOn w:val="703"/>
    <w:link w:val="734"/>
    <w:uiPriority w:val="11"/>
    <w:rPr>
      <w:sz w:val="24"/>
      <w:szCs w:val="24"/>
    </w:rPr>
  </w:style>
  <w:style w:type="character" w:styleId="39">
    <w:name w:val="Quote Char"/>
    <w:link w:val="794"/>
    <w:uiPriority w:val="29"/>
    <w:rPr>
      <w:i/>
    </w:rPr>
  </w:style>
  <w:style w:type="character" w:styleId="41">
    <w:name w:val="Intense Quote Char"/>
    <w:link w:val="813"/>
    <w:uiPriority w:val="30"/>
    <w:rPr>
      <w:i/>
    </w:rPr>
  </w:style>
  <w:style w:type="character" w:styleId="43">
    <w:name w:val="Header Char"/>
    <w:basedOn w:val="703"/>
    <w:link w:val="719"/>
    <w:uiPriority w:val="99"/>
  </w:style>
  <w:style w:type="character" w:styleId="45">
    <w:name w:val="Footer Char"/>
    <w:basedOn w:val="703"/>
    <w:link w:val="731"/>
    <w:uiPriority w:val="99"/>
  </w:style>
  <w:style w:type="character" w:styleId="47">
    <w:name w:val="Caption Char"/>
    <w:basedOn w:val="714"/>
    <w:link w:val="731"/>
    <w:uiPriority w:val="99"/>
  </w:style>
  <w:style w:type="table" w:styleId="49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94">
    <w:name w:val="Heading 1"/>
    <w:basedOn w:val="693"/>
    <w:next w:val="693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95">
    <w:name w:val="Heading 2"/>
    <w:basedOn w:val="693"/>
    <w:next w:val="693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96">
    <w:name w:val="Heading 3"/>
    <w:basedOn w:val="693"/>
    <w:next w:val="693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97">
    <w:name w:val="Heading 4"/>
    <w:basedOn w:val="693"/>
    <w:next w:val="693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8">
    <w:name w:val="Heading 5"/>
    <w:basedOn w:val="693"/>
    <w:next w:val="693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699">
    <w:name w:val="Heading 6"/>
    <w:basedOn w:val="693"/>
    <w:next w:val="693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00">
    <w:name w:val="Heading 7"/>
    <w:basedOn w:val="693"/>
    <w:next w:val="693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01">
    <w:name w:val="Heading 8"/>
    <w:basedOn w:val="693"/>
    <w:next w:val="693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02">
    <w:name w:val="Heading 9"/>
    <w:basedOn w:val="693"/>
    <w:next w:val="693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03" w:default="1">
    <w:name w:val="Default Paragraph Font"/>
    <w:uiPriority w:val="0"/>
    <w:qFormat/>
  </w:style>
  <w:style w:type="table" w:styleId="70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5">
    <w:name w:val="footnote reference"/>
    <w:uiPriority w:val="0"/>
    <w:qFormat/>
    <w:rPr>
      <w:vertAlign w:val="superscript"/>
    </w:rPr>
  </w:style>
  <w:style w:type="character" w:styleId="706">
    <w:name w:val="annotation reference"/>
    <w:uiPriority w:val="0"/>
    <w:qFormat/>
    <w:rPr>
      <w:sz w:val="16"/>
    </w:rPr>
  </w:style>
  <w:style w:type="character" w:styleId="707">
    <w:name w:val="endnote reference"/>
    <w:uiPriority w:val="0"/>
    <w:qFormat/>
    <w:rPr>
      <w:vertAlign w:val="superscript"/>
    </w:rPr>
  </w:style>
  <w:style w:type="character" w:styleId="708">
    <w:name w:val="Emphasis"/>
    <w:uiPriority w:val="0"/>
    <w:qFormat/>
    <w:rPr>
      <w:i/>
    </w:rPr>
  </w:style>
  <w:style w:type="character" w:styleId="709">
    <w:name w:val="Hyperlink"/>
    <w:uiPriority w:val="0"/>
    <w:qFormat/>
    <w:rPr>
      <w:color w:val="0000ff"/>
      <w:u w:val="single"/>
    </w:rPr>
  </w:style>
  <w:style w:type="character" w:styleId="710">
    <w:name w:val="page number"/>
    <w:uiPriority w:val="0"/>
    <w:qFormat/>
  </w:style>
  <w:style w:type="character" w:styleId="711">
    <w:name w:val="Strong"/>
    <w:uiPriority w:val="0"/>
    <w:qFormat/>
    <w:rPr>
      <w:b/>
    </w:rPr>
  </w:style>
  <w:style w:type="paragraph" w:styleId="712">
    <w:name w:val="Balloon Text"/>
    <w:basedOn w:val="69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13">
    <w:name w:val="Body Text 2"/>
    <w:basedOn w:val="693"/>
    <w:uiPriority w:val="0"/>
    <w:qFormat/>
    <w:pPr>
      <w:spacing w:after="120" w:line="480" w:lineRule="auto"/>
    </w:pPr>
  </w:style>
  <w:style w:type="paragraph" w:styleId="714">
    <w:name w:val="Caption"/>
    <w:basedOn w:val="693"/>
    <w:next w:val="693"/>
    <w:uiPriority w:val="0"/>
    <w:qFormat/>
    <w:pPr>
      <w:spacing w:line="240" w:lineRule="auto"/>
    </w:pPr>
    <w:rPr>
      <w:b/>
      <w:color w:val="94b6d2"/>
      <w:sz w:val="18"/>
    </w:rPr>
  </w:style>
  <w:style w:type="paragraph" w:styleId="715">
    <w:name w:val="annotation text"/>
    <w:basedOn w:val="693"/>
    <w:uiPriority w:val="0"/>
    <w:qFormat/>
    <w:pPr>
      <w:spacing w:line="240" w:lineRule="auto"/>
    </w:pPr>
    <w:rPr>
      <w:sz w:val="20"/>
    </w:rPr>
  </w:style>
  <w:style w:type="paragraph" w:styleId="716">
    <w:name w:val="annotation subject"/>
    <w:basedOn w:val="715"/>
    <w:next w:val="715"/>
    <w:uiPriority w:val="0"/>
    <w:qFormat/>
    <w:rPr>
      <w:b/>
    </w:rPr>
  </w:style>
  <w:style w:type="paragraph" w:styleId="717">
    <w:name w:val="Document Map"/>
    <w:basedOn w:val="69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18">
    <w:name w:val="toc 8"/>
    <w:next w:val="693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9">
    <w:name w:val="Header"/>
    <w:basedOn w:val="69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0">
    <w:name w:val="toc 9"/>
    <w:next w:val="693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1">
    <w:name w:val="toc 7"/>
    <w:next w:val="693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2">
    <w:name w:val="Body Text"/>
    <w:basedOn w:val="693"/>
    <w:uiPriority w:val="0"/>
    <w:qFormat/>
    <w:pPr>
      <w:spacing w:after="120"/>
    </w:pPr>
  </w:style>
  <w:style w:type="paragraph" w:styleId="723">
    <w:name w:val="toc 1"/>
    <w:basedOn w:val="693"/>
    <w:next w:val="693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" w:hAnsi="Times New Roman"/>
      <w:caps/>
      <w:sz w:val="20"/>
    </w:rPr>
  </w:style>
  <w:style w:type="paragraph" w:styleId="724">
    <w:name w:val="toc 6"/>
    <w:next w:val="693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toc 3"/>
    <w:basedOn w:val="693"/>
    <w:next w:val="693"/>
    <w:uiPriority w:val="39"/>
    <w:qFormat/>
    <w:pPr>
      <w:ind w:left="440" w:firstLine="0"/>
    </w:pPr>
    <w:rPr>
      <w:rFonts w:ascii="Times New Roman" w:hAnsi="Times New Roman"/>
      <w:sz w:val="20"/>
    </w:rPr>
  </w:style>
  <w:style w:type="paragraph" w:styleId="726">
    <w:name w:val="toc 2"/>
    <w:basedOn w:val="693"/>
    <w:next w:val="693"/>
    <w:uiPriority w:val="39"/>
    <w:qFormat/>
    <w:pPr>
      <w:ind w:left="220" w:firstLine="0"/>
      <w:spacing w:after="100"/>
    </w:pPr>
    <w:rPr>
      <w:rFonts w:ascii="Times New Roman" w:hAnsi="Times New Roman"/>
      <w:sz w:val="20"/>
    </w:rPr>
  </w:style>
  <w:style w:type="paragraph" w:styleId="727">
    <w:name w:val="toc 4"/>
    <w:next w:val="693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8">
    <w:name w:val="toc 5"/>
    <w:next w:val="693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Body Text Indent"/>
    <w:basedOn w:val="693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0">
    <w:name w:val="Title"/>
    <w:basedOn w:val="693"/>
    <w:uiPriority w:val="10"/>
    <w:qFormat/>
    <w:pPr>
      <w:jc w:val="center"/>
      <w:spacing w:after="0" w:line="240" w:lineRule="auto"/>
    </w:pPr>
    <w:rPr>
      <w:rFonts w:ascii="Times New Roman" w:hAnsi="Times New Roman"/>
      <w:b/>
    </w:rPr>
  </w:style>
  <w:style w:type="paragraph" w:styleId="731">
    <w:name w:val="Footer"/>
    <w:basedOn w:val="69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2">
    <w:name w:val="Normal (Web)"/>
    <w:basedOn w:val="693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33">
    <w:name w:val="Body Text 3"/>
    <w:basedOn w:val="693"/>
    <w:uiPriority w:val="0"/>
    <w:qFormat/>
    <w:pPr>
      <w:spacing w:after="120" w:line="240" w:lineRule="auto"/>
    </w:pPr>
    <w:rPr>
      <w:rFonts w:ascii="Times New Roman" w:hAnsi="Times New Roman"/>
      <w:sz w:val="16"/>
    </w:rPr>
  </w:style>
  <w:style w:type="paragraph" w:styleId="734">
    <w:name w:val="Subtitle"/>
    <w:basedOn w:val="693"/>
    <w:next w:val="693"/>
    <w:uiPriority w:val="11"/>
    <w:qFormat/>
    <w:rPr>
      <w:i/>
      <w:color w:val="94b6d2"/>
      <w:spacing w:val="15"/>
      <w:sz w:val="24"/>
    </w:rPr>
  </w:style>
  <w:style w:type="table" w:styleId="735">
    <w:name w:val="Table Grid"/>
    <w:basedOn w:val="704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List Paragraph"/>
    <w:basedOn w:val="693"/>
    <w:uiPriority w:val="0"/>
    <w:qFormat/>
    <w:pPr>
      <w:contextualSpacing/>
      <w:ind w:left="720" w:firstLine="0"/>
    </w:pPr>
  </w:style>
  <w:style w:type="paragraph" w:styleId="737" w:customStyle="1">
    <w:name w:val="Style8"/>
    <w:basedOn w:val="693"/>
    <w:link w:val="73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38" w:customStyle="1">
    <w:name w:val="Style81"/>
    <w:link w:val="737"/>
    <w:uiPriority w:val="0"/>
    <w:qFormat/>
    <w:rPr>
      <w:rFonts w:ascii="Times New Roman" w:hAnsi="Times New Roman"/>
      <w:sz w:val="24"/>
    </w:rPr>
  </w:style>
  <w:style w:type="paragraph" w:styleId="739" w:customStyle="1">
    <w:name w:val="Основной текст (5) + Курсив"/>
    <w:link w:val="7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40" w:customStyle="1">
    <w:name w:val="Основной текст (5) + Курсив1"/>
    <w:link w:val="739"/>
    <w:uiPriority w:val="0"/>
    <w:qFormat/>
    <w:rPr>
      <w:rFonts w:ascii="Times New Roman" w:hAnsi="Times New Roman"/>
      <w:i/>
      <w:highlight w:val="white"/>
    </w:rPr>
  </w:style>
  <w:style w:type="paragraph" w:styleId="741" w:customStyle="1">
    <w:name w:val="Основной текст (7) + Не полужирный"/>
    <w:link w:val="74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42" w:customStyle="1">
    <w:name w:val="Основной текст (7) + Не полужирный1"/>
    <w:link w:val="741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43" w:customStyle="1">
    <w:name w:val="Table Paragraph"/>
    <w:basedOn w:val="693"/>
    <w:link w:val="744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44" w:customStyle="1">
    <w:name w:val="Table Paragraph1"/>
    <w:link w:val="743"/>
    <w:uiPriority w:val="0"/>
    <w:qFormat/>
    <w:rPr>
      <w:rFonts w:ascii="Times New Roman" w:hAnsi="Times New Roman"/>
    </w:rPr>
  </w:style>
  <w:style w:type="paragraph" w:styleId="745" w:customStyle="1">
    <w:name w:val="Обычный1"/>
    <w:link w:val="746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46" w:customStyle="1">
    <w:name w:val="Обычный11"/>
    <w:link w:val="745"/>
    <w:uiPriority w:val="0"/>
    <w:qFormat/>
    <w:rPr>
      <w:rFonts w:ascii="Times New Roman" w:hAnsi="Times New Roman"/>
      <w:sz w:val="28"/>
    </w:rPr>
  </w:style>
  <w:style w:type="paragraph" w:styleId="747" w:customStyle="1">
    <w:name w:val="Endnote"/>
    <w:basedOn w:val="693"/>
    <w:link w:val="748"/>
    <w:uiPriority w:val="0"/>
    <w:qFormat/>
    <w:pPr>
      <w:spacing w:after="0" w:line="240" w:lineRule="auto"/>
    </w:pPr>
    <w:rPr>
      <w:sz w:val="20"/>
    </w:rPr>
  </w:style>
  <w:style w:type="character" w:styleId="748" w:customStyle="1">
    <w:name w:val="Endnote1"/>
    <w:link w:val="747"/>
    <w:uiPriority w:val="0"/>
    <w:qFormat/>
    <w:rPr>
      <w:sz w:val="20"/>
    </w:rPr>
  </w:style>
  <w:style w:type="paragraph" w:styleId="749" w:customStyle="1">
    <w:name w:val="Style64"/>
    <w:basedOn w:val="693"/>
    <w:link w:val="750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50" w:customStyle="1">
    <w:name w:val="Style641"/>
    <w:link w:val="749"/>
    <w:uiPriority w:val="0"/>
    <w:qFormat/>
    <w:rPr>
      <w:rFonts w:ascii="Times New Roman" w:hAnsi="Times New Roman"/>
      <w:sz w:val="24"/>
    </w:rPr>
  </w:style>
  <w:style w:type="paragraph" w:styleId="751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2" w:customStyle="1">
    <w:name w:val="Style45"/>
    <w:basedOn w:val="693"/>
    <w:link w:val="753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753" w:customStyle="1">
    <w:name w:val="Style451"/>
    <w:link w:val="752"/>
    <w:uiPriority w:val="0"/>
    <w:qFormat/>
    <w:rPr>
      <w:rFonts w:ascii="Times New Roman" w:hAnsi="Times New Roman"/>
      <w:sz w:val="24"/>
    </w:rPr>
  </w:style>
  <w:style w:type="paragraph" w:styleId="754" w:customStyle="1">
    <w:name w:val="Основной текст (5)"/>
    <w:basedOn w:val="693"/>
    <w:link w:val="755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55" w:customStyle="1">
    <w:name w:val="Основной текст (5)1"/>
    <w:link w:val="754"/>
    <w:uiPriority w:val="0"/>
    <w:qFormat/>
    <w:rPr>
      <w:rFonts w:ascii="Times New Roman" w:hAnsi="Times New Roman"/>
      <w:sz w:val="20"/>
    </w:rPr>
  </w:style>
  <w:style w:type="paragraph" w:styleId="756" w:customStyle="1">
    <w:name w:val="Стиль1"/>
    <w:basedOn w:val="693"/>
    <w:link w:val="757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57" w:customStyle="1">
    <w:name w:val="Стиль11"/>
    <w:link w:val="756"/>
    <w:uiPriority w:val="0"/>
    <w:qFormat/>
    <w:rPr>
      <w:rFonts w:ascii="Arial" w:hAnsi="Arial"/>
      <w:sz w:val="24"/>
    </w:rPr>
  </w:style>
  <w:style w:type="paragraph" w:styleId="758" w:customStyle="1">
    <w:name w:val="_Style 44"/>
    <w:basedOn w:val="693"/>
    <w:next w:val="732"/>
    <w:link w:val="759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59" w:customStyle="1">
    <w:name w:val="_Style 45"/>
    <w:link w:val="758"/>
    <w:uiPriority w:val="0"/>
    <w:semiHidden/>
    <w:unhideWhenUsed/>
    <w:qFormat/>
    <w:rPr>
      <w:rFonts w:ascii="Times New Roman" w:hAnsi="Times New Roman"/>
      <w:sz w:val="24"/>
    </w:rPr>
  </w:style>
  <w:style w:type="paragraph" w:styleId="760" w:customStyle="1">
    <w:name w:val="Основной текст (6)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6)3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Основной текст (18) + Не курсив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3" w:customStyle="1">
    <w:name w:val="Основной текст (18) + Не курсив1"/>
    <w:link w:val="762"/>
    <w:uiPriority w:val="0"/>
    <w:qFormat/>
    <w:rPr>
      <w:rFonts w:ascii="Times New Roman" w:hAnsi="Times New Roman"/>
      <w:highlight w:val="white"/>
    </w:rPr>
  </w:style>
  <w:style w:type="paragraph" w:styleId="764" w:customStyle="1">
    <w:name w:val="Font Style73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5" w:customStyle="1">
    <w:name w:val="Font Style731"/>
    <w:link w:val="764"/>
    <w:uiPriority w:val="0"/>
    <w:qFormat/>
    <w:rPr>
      <w:rFonts w:ascii="Times New Roman" w:hAnsi="Times New Roman"/>
      <w:b/>
      <w:sz w:val="22"/>
    </w:rPr>
  </w:style>
  <w:style w:type="paragraph" w:styleId="766" w:customStyle="1">
    <w:name w:val="Заголовок №74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7" w:customStyle="1">
    <w:name w:val="Заголовок №741"/>
    <w:link w:val="766"/>
    <w:uiPriority w:val="0"/>
    <w:qFormat/>
    <w:rPr>
      <w:rFonts w:ascii="Times New Roman" w:hAnsi="Times New Roman"/>
      <w:b/>
      <w:sz w:val="27"/>
      <w:highlight w:val="white"/>
    </w:rPr>
  </w:style>
  <w:style w:type="paragraph" w:styleId="768" w:customStyle="1">
    <w:name w:val="Основной текст (2)"/>
    <w:basedOn w:val="693"/>
    <w:link w:val="769"/>
    <w:uiPriority w:val="0"/>
    <w:qFormat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769" w:customStyle="1">
    <w:name w:val="Основной текст (2)1"/>
    <w:link w:val="768"/>
    <w:uiPriority w:val="0"/>
    <w:qFormat/>
    <w:rPr>
      <w:rFonts w:ascii="Times New Roman" w:hAnsi="Times New Roman"/>
      <w:sz w:val="28"/>
    </w:rPr>
  </w:style>
  <w:style w:type="paragraph" w:styleId="770" w:customStyle="1">
    <w:name w:val="Intense Reference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71" w:customStyle="1">
    <w:name w:val="Intense Reference1"/>
    <w:link w:val="770"/>
    <w:uiPriority w:val="0"/>
    <w:qFormat/>
    <w:rPr>
      <w:b/>
      <w:smallCaps/>
      <w:color w:val="dd8047"/>
      <w:spacing w:val="5"/>
      <w:u w:val="single"/>
    </w:rPr>
  </w:style>
  <w:style w:type="paragraph" w:styleId="772" w:customStyle="1">
    <w:name w:val="Основной текст (16)"/>
    <w:basedOn w:val="693"/>
    <w:link w:val="773"/>
    <w:uiPriority w:val="0"/>
    <w:qFormat/>
    <w:pPr>
      <w:spacing w:after="0" w:line="250" w:lineRule="exact"/>
    </w:pPr>
    <w:rPr>
      <w:rFonts w:ascii="Times New Roman" w:hAnsi="Times New Roman"/>
      <w:b/>
      <w:i/>
    </w:rPr>
  </w:style>
  <w:style w:type="character" w:styleId="773" w:customStyle="1">
    <w:name w:val="Основной текст (16)1"/>
    <w:link w:val="772"/>
    <w:uiPriority w:val="0"/>
    <w:qFormat/>
    <w:rPr>
      <w:rFonts w:ascii="Times New Roman" w:hAnsi="Times New Roman"/>
      <w:b/>
      <w:i/>
    </w:rPr>
  </w:style>
  <w:style w:type="paragraph" w:styleId="774" w:customStyle="1">
    <w:name w:val="Subtle Reference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5" w:customStyle="1">
    <w:name w:val="Subtle Reference1"/>
    <w:link w:val="774"/>
    <w:uiPriority w:val="0"/>
    <w:qFormat/>
    <w:rPr>
      <w:smallCaps/>
      <w:color w:val="dd8047"/>
      <w:u w:val="single"/>
    </w:rPr>
  </w:style>
  <w:style w:type="paragraph" w:styleId="776" w:customStyle="1">
    <w:name w:val="Основной текст (7)"/>
    <w:basedOn w:val="693"/>
    <w:link w:val="777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777" w:customStyle="1">
    <w:name w:val="Основной текст (7)1"/>
    <w:link w:val="776"/>
    <w:uiPriority w:val="0"/>
    <w:qFormat/>
    <w:rPr>
      <w:rFonts w:ascii="Times New Roman" w:hAnsi="Times New Roman"/>
      <w:b/>
      <w:sz w:val="28"/>
    </w:rPr>
  </w:style>
  <w:style w:type="paragraph" w:styleId="778" w:customStyle="1">
    <w:name w:val="Font Style13"/>
    <w:link w:val="7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79" w:customStyle="1">
    <w:name w:val="Font Style131"/>
    <w:link w:val="778"/>
    <w:uiPriority w:val="0"/>
    <w:qFormat/>
    <w:rPr>
      <w:rFonts w:ascii="Times New Roman" w:hAnsi="Times New Roman"/>
      <w:sz w:val="26"/>
    </w:rPr>
  </w:style>
  <w:style w:type="paragraph" w:styleId="780" w:customStyle="1">
    <w:name w:val="Основной текст (18)"/>
    <w:basedOn w:val="693"/>
    <w:link w:val="781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781" w:customStyle="1">
    <w:name w:val="Основной текст (18)1"/>
    <w:link w:val="780"/>
    <w:uiPriority w:val="0"/>
    <w:qFormat/>
    <w:rPr>
      <w:rFonts w:ascii="Times New Roman" w:hAnsi="Times New Roman"/>
      <w:i/>
      <w:sz w:val="20"/>
    </w:rPr>
  </w:style>
  <w:style w:type="paragraph" w:styleId="782" w:customStyle="1">
    <w:name w:val="Название Знак1"/>
    <w:link w:val="783"/>
    <w:uiPriority w:val="0"/>
    <w:qFormat/>
    <w:pPr>
      <w:ind w:left="0" w:right="0" w:firstLine="0"/>
      <w:jc w:val="left"/>
      <w:spacing w:before="0" w:after="0" w:line="240" w:lineRule="auto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styleId="783" w:customStyle="1">
    <w:name w:val="Название Знак11"/>
    <w:basedOn w:val="703"/>
    <w:link w:val="782"/>
    <w:uiPriority w:val="0"/>
    <w:qFormat/>
    <w:rPr>
      <w:rFonts w:asciiTheme="majorAscii" w:hAnsiTheme="majorHAnsi"/>
      <w:color w:val="333f50" w:themeColor="text2" w:themeShade="BF"/>
      <w:spacing w:val="5"/>
      <w:sz w:val="52"/>
    </w:rPr>
  </w:style>
  <w:style w:type="paragraph" w:styleId="784" w:customStyle="1">
    <w:name w:val="Subtle Emphasis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5" w:customStyle="1">
    <w:name w:val="Subtle Emphasis1"/>
    <w:link w:val="784"/>
    <w:uiPriority w:val="0"/>
    <w:qFormat/>
    <w:rPr>
      <w:i/>
      <w:color w:val="808080"/>
    </w:rPr>
  </w:style>
  <w:style w:type="paragraph" w:styleId="786" w:customStyle="1">
    <w:name w:val="Footnote"/>
    <w:basedOn w:val="693"/>
    <w:link w:val="787"/>
    <w:uiPriority w:val="0"/>
    <w:qFormat/>
    <w:pPr>
      <w:spacing w:after="0" w:line="240" w:lineRule="auto"/>
    </w:pPr>
    <w:rPr>
      <w:sz w:val="20"/>
    </w:rPr>
  </w:style>
  <w:style w:type="character" w:styleId="787" w:customStyle="1">
    <w:name w:val="Footnote1"/>
    <w:link w:val="786"/>
    <w:uiPriority w:val="0"/>
    <w:qFormat/>
    <w:rPr>
      <w:sz w:val="20"/>
    </w:rPr>
  </w:style>
  <w:style w:type="paragraph" w:styleId="788" w:customStyle="1">
    <w:name w:val="Default"/>
    <w:link w:val="7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89" w:customStyle="1">
    <w:name w:val="Default1"/>
    <w:link w:val="788"/>
    <w:uiPriority w:val="0"/>
    <w:qFormat/>
    <w:rPr>
      <w:rFonts w:ascii="Times New Roman" w:hAnsi="Times New Roman"/>
      <w:color w:val="000000"/>
      <w:sz w:val="24"/>
    </w:rPr>
  </w:style>
  <w:style w:type="paragraph" w:styleId="790" w:customStyle="1">
    <w:name w:val="Основной текст2"/>
    <w:basedOn w:val="693"/>
    <w:link w:val="791"/>
    <w:uiPriority w:val="0"/>
    <w:qFormat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791" w:customStyle="1">
    <w:name w:val="Основной текст21"/>
    <w:link w:val="790"/>
    <w:uiPriority w:val="0"/>
    <w:qFormat/>
    <w:rPr>
      <w:rFonts w:ascii="Times New Roman" w:hAnsi="Times New Roman"/>
      <w:color w:val="000000"/>
      <w:sz w:val="21"/>
    </w:rPr>
  </w:style>
  <w:style w:type="paragraph" w:styleId="792" w:customStyle="1">
    <w:name w:val="Header and Footer"/>
    <w:link w:val="793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3" w:customStyle="1">
    <w:name w:val="Header and Footer1"/>
    <w:link w:val="792"/>
    <w:uiPriority w:val="0"/>
    <w:qFormat/>
    <w:rPr>
      <w:rFonts w:ascii="XO Thames" w:hAnsi="XO Thames"/>
      <w:sz w:val="20"/>
    </w:rPr>
  </w:style>
  <w:style w:type="paragraph" w:styleId="794">
    <w:name w:val="Quote"/>
    <w:basedOn w:val="693"/>
    <w:next w:val="693"/>
    <w:uiPriority w:val="0"/>
    <w:qFormat/>
    <w:rPr>
      <w:i/>
      <w:color w:val="000000"/>
      <w:sz w:val="20"/>
    </w:rPr>
  </w:style>
  <w:style w:type="paragraph" w:styleId="795" w:customStyle="1">
    <w:name w:val="_Style 112"/>
    <w:link w:val="796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96" w:customStyle="1">
    <w:name w:val="_Style 113"/>
    <w:link w:val="795"/>
    <w:uiPriority w:val="0"/>
    <w:semiHidden/>
    <w:unhideWhenUsed/>
    <w:qFormat/>
    <w:rPr>
      <w:sz w:val="22"/>
    </w:rPr>
  </w:style>
  <w:style w:type="paragraph" w:styleId="797" w:customStyle="1">
    <w:name w:val="Style58"/>
    <w:basedOn w:val="693"/>
    <w:link w:val="79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8" w:customStyle="1">
    <w:name w:val="Style581"/>
    <w:link w:val="797"/>
    <w:uiPriority w:val="0"/>
    <w:qFormat/>
    <w:rPr>
      <w:rFonts w:ascii="Times New Roman" w:hAnsi="Times New Roman"/>
      <w:sz w:val="24"/>
    </w:rPr>
  </w:style>
  <w:style w:type="paragraph" w:styleId="799" w:customStyle="1">
    <w:name w:val="Основной текст (39)1"/>
    <w:basedOn w:val="693"/>
    <w:link w:val="800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0" w:customStyle="1">
    <w:name w:val="Основной текст (39)11"/>
    <w:link w:val="799"/>
    <w:uiPriority w:val="0"/>
    <w:qFormat/>
    <w:rPr>
      <w:rFonts w:ascii="Times New Roman" w:hAnsi="Times New Roman"/>
      <w:i/>
      <w:sz w:val="20"/>
    </w:rPr>
  </w:style>
  <w:style w:type="paragraph" w:styleId="801" w:customStyle="1">
    <w:name w:val="Book Title"/>
    <w:link w:val="80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02" w:customStyle="1">
    <w:name w:val="Book Title1"/>
    <w:link w:val="801"/>
    <w:uiPriority w:val="0"/>
    <w:qFormat/>
    <w:rPr>
      <w:b/>
      <w:smallCaps/>
      <w:spacing w:val="5"/>
    </w:rPr>
  </w:style>
  <w:style w:type="paragraph" w:styleId="803" w:customStyle="1">
    <w:name w:val="Style5"/>
    <w:basedOn w:val="693"/>
    <w:link w:val="804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804" w:customStyle="1">
    <w:name w:val="Style5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WW-Базовый"/>
    <w:link w:val="806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06" w:customStyle="1">
    <w:name w:val="WW-Базовый1"/>
    <w:link w:val="805"/>
    <w:uiPriority w:val="0"/>
    <w:qFormat/>
    <w:rPr>
      <w:rFonts w:ascii="Times New Roman" w:hAnsi="Times New Roman"/>
      <w:color w:val="000000"/>
      <w:sz w:val="24"/>
    </w:rPr>
  </w:style>
  <w:style w:type="paragraph" w:styleId="807" w:customStyle="1">
    <w:name w:val="Style13"/>
    <w:basedOn w:val="693"/>
    <w:link w:val="808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8" w:customStyle="1">
    <w:name w:val="Style131"/>
    <w:link w:val="807"/>
    <w:uiPriority w:val="0"/>
    <w:qFormat/>
    <w:rPr>
      <w:rFonts w:ascii="Times New Roman" w:hAnsi="Times New Roman"/>
      <w:sz w:val="24"/>
    </w:rPr>
  </w:style>
  <w:style w:type="paragraph" w:styleId="809" w:customStyle="1">
    <w:name w:val="Основной текст5"/>
    <w:basedOn w:val="693"/>
    <w:link w:val="810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10" w:customStyle="1">
    <w:name w:val="Основной текст51"/>
    <w:link w:val="809"/>
    <w:uiPriority w:val="0"/>
    <w:qFormat/>
    <w:rPr>
      <w:rFonts w:ascii="Times New Roman" w:hAnsi="Times New Roman"/>
      <w:sz w:val="23"/>
    </w:rPr>
  </w:style>
  <w:style w:type="paragraph" w:styleId="811" w:customStyle="1">
    <w:name w:val="Название1"/>
    <w:basedOn w:val="693"/>
    <w:next w:val="693"/>
    <w:link w:val="812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2" w:customStyle="1">
    <w:name w:val="Название11"/>
    <w:link w:val="811"/>
    <w:uiPriority w:val="0"/>
    <w:qFormat/>
    <w:rPr>
      <w:color w:val="59473f"/>
      <w:spacing w:val="5"/>
      <w:sz w:val="52"/>
    </w:rPr>
  </w:style>
  <w:style w:type="paragraph" w:styleId="813">
    <w:name w:val="Intense Quote"/>
    <w:basedOn w:val="693"/>
    <w:next w:val="693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814" w:customStyle="1">
    <w:name w:val="Style31"/>
    <w:basedOn w:val="693"/>
    <w:link w:val="815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15" w:customStyle="1">
    <w:name w:val="Style311"/>
    <w:link w:val="814"/>
    <w:uiPriority w:val="0"/>
    <w:qFormat/>
    <w:rPr>
      <w:rFonts w:ascii="Times New Roman" w:hAnsi="Times New Roman"/>
      <w:sz w:val="24"/>
    </w:rPr>
  </w:style>
  <w:style w:type="paragraph" w:styleId="816" w:customStyle="1">
    <w:name w:val="TOC Heading"/>
    <w:basedOn w:val="694"/>
    <w:next w:val="693"/>
    <w:link w:val="817"/>
    <w:uiPriority w:val="0"/>
    <w:qFormat/>
    <w:pPr>
      <w:outlineLvl w:val="8"/>
    </w:pPr>
  </w:style>
  <w:style w:type="character" w:styleId="817" w:customStyle="1">
    <w:name w:val="TOC Heading1"/>
    <w:link w:val="816"/>
    <w:uiPriority w:val="0"/>
    <w:qFormat/>
  </w:style>
  <w:style w:type="paragraph" w:styleId="818" w:customStyle="1">
    <w:name w:val="Заголовок №73"/>
    <w:link w:val="8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19" w:customStyle="1">
    <w:name w:val="Заголовок №731"/>
    <w:link w:val="818"/>
    <w:uiPriority w:val="0"/>
    <w:qFormat/>
    <w:rPr>
      <w:rFonts w:ascii="Times New Roman" w:hAnsi="Times New Roman"/>
      <w:b/>
      <w:sz w:val="27"/>
      <w:highlight w:val="white"/>
    </w:rPr>
  </w:style>
  <w:style w:type="paragraph" w:styleId="820" w:customStyle="1">
    <w:name w:val="Заголовок №51"/>
    <w:basedOn w:val="693"/>
    <w:link w:val="821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21" w:customStyle="1">
    <w:name w:val="Заголовок №511"/>
    <w:link w:val="820"/>
    <w:uiPriority w:val="0"/>
    <w:qFormat/>
    <w:rPr>
      <w:rFonts w:ascii="Times New Roman" w:hAnsi="Times New Roman"/>
      <w:b/>
      <w:sz w:val="27"/>
    </w:rPr>
  </w:style>
  <w:style w:type="paragraph" w:styleId="822" w:customStyle="1">
    <w:name w:val="Заголовок №71"/>
    <w:basedOn w:val="693"/>
    <w:link w:val="82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23" w:customStyle="1">
    <w:name w:val="Заголовок №711"/>
    <w:link w:val="822"/>
    <w:uiPriority w:val="0"/>
    <w:qFormat/>
    <w:rPr>
      <w:rFonts w:ascii="Times New Roman" w:hAnsi="Times New Roman"/>
      <w:b/>
      <w:sz w:val="27"/>
    </w:rPr>
  </w:style>
  <w:style w:type="paragraph" w:styleId="824" w:customStyle="1">
    <w:name w:val="Font Style77"/>
    <w:link w:val="8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25" w:customStyle="1">
    <w:name w:val="Font Style771"/>
    <w:link w:val="824"/>
    <w:uiPriority w:val="0"/>
    <w:qFormat/>
    <w:rPr>
      <w:rFonts w:ascii="Times New Roman" w:hAnsi="Times New Roman"/>
      <w:sz w:val="22"/>
    </w:rPr>
  </w:style>
  <w:style w:type="paragraph" w:styleId="826" w:customStyle="1">
    <w:name w:val="Font Style30"/>
    <w:link w:val="82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7" w:customStyle="1">
    <w:name w:val="Font Style301"/>
    <w:link w:val="826"/>
    <w:uiPriority w:val="0"/>
    <w:qFormat/>
    <w:rPr>
      <w:rFonts w:ascii="Times New Roman" w:hAnsi="Times New Roman"/>
      <w:b/>
      <w:sz w:val="26"/>
    </w:rPr>
  </w:style>
  <w:style w:type="paragraph" w:styleId="828" w:customStyle="1">
    <w:name w:val="Основной текст с отступом 21"/>
    <w:basedOn w:val="693"/>
    <w:link w:val="829"/>
    <w:uiPriority w:val="0"/>
    <w:qFormat/>
    <w:pPr>
      <w:ind w:left="0" w:firstLine="567"/>
      <w:jc w:val="both"/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829" w:customStyle="1">
    <w:name w:val="Основной текст с отступом 211"/>
    <w:link w:val="828"/>
    <w:uiPriority w:val="0"/>
    <w:qFormat/>
    <w:rPr>
      <w:rFonts w:ascii="Times New Roman" w:hAnsi="Times New Roman"/>
      <w:sz w:val="28"/>
    </w:rPr>
  </w:style>
  <w:style w:type="paragraph" w:styleId="830" w:customStyle="1">
    <w:name w:val="Font Style76"/>
    <w:link w:val="83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31" w:customStyle="1">
    <w:name w:val="Font Style761"/>
    <w:link w:val="830"/>
    <w:uiPriority w:val="0"/>
    <w:qFormat/>
    <w:rPr>
      <w:rFonts w:ascii="Times New Roman" w:hAnsi="Times New Roman"/>
      <w:sz w:val="26"/>
    </w:rPr>
  </w:style>
  <w:style w:type="paragraph" w:styleId="832" w:customStyle="1">
    <w:name w:val="Заголовок №72"/>
    <w:link w:val="8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833" w:customStyle="1">
    <w:name w:val="Заголовок №721"/>
    <w:link w:val="832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834" w:customStyle="1">
    <w:name w:val="Основной текст + Курсив2"/>
    <w:link w:val="8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35" w:customStyle="1">
    <w:name w:val="Основной текст + Курсив21"/>
    <w:link w:val="834"/>
    <w:uiPriority w:val="0"/>
    <w:qFormat/>
    <w:rPr>
      <w:rFonts w:ascii="Times New Roman" w:hAnsi="Times New Roman"/>
      <w:i/>
      <w:sz w:val="27"/>
      <w:highlight w:val="white"/>
    </w:rPr>
  </w:style>
  <w:style w:type="paragraph" w:styleId="836" w:customStyle="1">
    <w:name w:val="Intense Emphasis"/>
    <w:link w:val="83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37" w:customStyle="1">
    <w:name w:val="Intense Emphasis1"/>
    <w:link w:val="836"/>
    <w:uiPriority w:val="0"/>
    <w:qFormat/>
    <w:rPr>
      <w:b/>
      <w:i/>
      <w:color w:val="94b6d2"/>
    </w:rPr>
  </w:style>
  <w:style w:type="paragraph" w:styleId="838" w:customStyle="1">
    <w:name w:val="_Style 184"/>
    <w:basedOn w:val="693"/>
    <w:next w:val="732"/>
    <w:link w:val="839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39" w:customStyle="1">
    <w:name w:val="_Style 185"/>
    <w:link w:val="838"/>
    <w:uiPriority w:val="0"/>
    <w:semiHidden/>
    <w:unhideWhenUsed/>
    <w:qFormat/>
    <w:rPr>
      <w:rFonts w:ascii="Times New Roman" w:hAnsi="Times New Roman"/>
      <w:sz w:val="24"/>
    </w:rPr>
  </w:style>
  <w:style w:type="paragraph" w:styleId="840" w:customStyle="1">
    <w:name w:val="Основной текст (2) + Полужирный"/>
    <w:link w:val="8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41" w:customStyle="1">
    <w:name w:val="Основной текст (2) + Полужирный1"/>
    <w:link w:val="840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42" w:customStyle="1">
    <w:name w:val="Font Style75"/>
    <w:link w:val="8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43" w:customStyle="1">
    <w:name w:val="Font Style751"/>
    <w:link w:val="842"/>
    <w:uiPriority w:val="0"/>
    <w:qFormat/>
    <w:rPr>
      <w:rFonts w:ascii="Times New Roman" w:hAnsi="Times New Roman"/>
      <w:b/>
      <w:sz w:val="26"/>
    </w:rPr>
  </w:style>
  <w:style w:type="paragraph" w:styleId="844" w:customStyle="1">
    <w:name w:val="Основной текст (39)"/>
    <w:link w:val="8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45" w:customStyle="1">
    <w:name w:val="Основной текст (39)2"/>
    <w:link w:val="844"/>
    <w:uiPriority w:val="0"/>
    <w:qFormat/>
    <w:rPr>
      <w:rFonts w:ascii="Times New Roman" w:hAnsi="Times New Roman"/>
      <w:i/>
      <w:highlight w:val="white"/>
      <w:u w:val="single"/>
    </w:rPr>
  </w:style>
  <w:style w:type="table" w:styleId="846" w:customStyle="1">
    <w:name w:val="Сетка таблицы светлая1"/>
    <w:basedOn w:val="704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40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2025-07-29T04:53:00Z</dcterms:created>
  <dcterms:modified xsi:type="dcterms:W3CDTF">2025-08-12T12:12:09Z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2E8EE9D69CA444CCA92DB6530BC023FD_12</vt:lpwstr>
  </property>
</Properties>
</file>