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pStyle w:val="61"/>
        <w:widowControl w:val="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B1D4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2" w:type="dxa"/>
          </w:tcPr>
          <w:p w14:paraId="040000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50000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</w:tbl>
    <w:p w14:paraId="06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7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B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C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D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0E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0F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ИСТОРИЯ И ФИЛОСОФИЯ НАУКИ</w:t>
      </w:r>
    </w:p>
    <w:p w14:paraId="10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11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tbl>
      <w:tblPr>
        <w:tblStyle w:val="8"/>
        <w:tblW w:w="9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6266"/>
      </w:tblGrid>
      <w:tr w14:paraId="66CE7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384" w:type="dxa"/>
            <w:vAlign w:val="center"/>
          </w:tcPr>
          <w:p w14:paraId="12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66" w:type="dxa"/>
            <w:vAlign w:val="center"/>
          </w:tcPr>
          <w:p w14:paraId="15000000">
            <w:pPr>
              <w:pStyle w:val="60"/>
              <w:rPr>
                <w:i/>
                <w:color w:val="E36C0A"/>
              </w:rPr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</w:tc>
      </w:tr>
      <w:tr w14:paraId="61BC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84" w:type="dxa"/>
          </w:tcPr>
          <w:p w14:paraId="1C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1D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E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66" w:type="dxa"/>
            <w:vAlign w:val="center"/>
          </w:tcPr>
          <w:p w14:paraId="1F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0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1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22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3000000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14:paraId="24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5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6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7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BD6BCAE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41F766A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76A37F6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tabs>
          <w:tab w:val="center" w:pos="4677"/>
          <w:tab w:val="right" w:pos="93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ab/>
      </w:r>
    </w:p>
    <w:p w14:paraId="31000000">
      <w:pPr>
        <w:pStyle w:val="52"/>
        <w:rPr>
          <w:rFonts w:asciiTheme="minorAscii" w:hAnsiTheme="minorHAnsi"/>
          <w:b w:val="0"/>
          <w:color w:val="000000"/>
          <w:sz w:val="22"/>
        </w:rPr>
      </w:pPr>
      <w:r>
        <w:rPr>
          <w:rFonts w:asciiTheme="minorAscii" w:hAnsiTheme="minorHAnsi"/>
          <w:b w:val="0"/>
          <w:color w:val="000000"/>
          <w:sz w:val="22"/>
        </w:rPr>
        <w:t xml:space="preserve"> </w:t>
      </w:r>
    </w:p>
    <w:p w14:paraId="32000000">
      <w:pPr>
        <w:pStyle w:val="52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</w:t>
      </w:r>
    </w:p>
    <w:p w14:paraId="33000000">
      <w:pPr>
        <w:rPr>
          <w:rFonts w:ascii="Times New Roman" w:hAnsi="Times New Roman"/>
        </w:rPr>
      </w:pPr>
    </w:p>
    <w:p w14:paraId="1D740EF0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_Toc25200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_Toc25200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3E9E62F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_Toc16172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_Toc16172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033318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_Toc25648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_Toc25648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8FB297D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_Toc21802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_Toc21802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17EF5D9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_Toc27930 </w:instrText>
      </w:r>
      <w:r>
        <w:fldChar w:fldCharType="separate"/>
      </w:r>
      <w:r>
        <w:rPr>
          <w:rFonts w:ascii="Times New Roman" w:hAnsi="Times New Roman"/>
        </w:rPr>
        <w:t>5. Перечень заданий по дисциплине</w:t>
      </w:r>
      <w:r>
        <w:tab/>
      </w:r>
      <w:r>
        <w:fldChar w:fldCharType="begin"/>
      </w:r>
      <w:r>
        <w:instrText xml:space="preserve"> PAGEREF _Toc27930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63F5995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_Toc993 </w:instrText>
      </w:r>
      <w:r>
        <w:fldChar w:fldCharType="separate"/>
      </w:r>
      <w:r>
        <w:rPr>
          <w:rFonts w:ascii="Times New Roman" w:hAnsi="Times New Roman"/>
        </w:rPr>
        <w:t>5.1. Задания для текущего контроля:</w:t>
      </w:r>
      <w:r>
        <w:tab/>
      </w:r>
      <w:r>
        <w:fldChar w:fldCharType="begin"/>
      </w:r>
      <w:r>
        <w:instrText xml:space="preserve"> PAGEREF _Toc993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69C9B0D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_Toc1594 </w:instrText>
      </w:r>
      <w:r>
        <w:fldChar w:fldCharType="separate"/>
      </w:r>
      <w:r>
        <w:rPr>
          <w:rFonts w:ascii="Times New Roman" w:hAnsi="Times New Roman"/>
        </w:rPr>
        <w:t>5.2. Контрольные точки</w:t>
      </w:r>
      <w:r>
        <w:tab/>
      </w:r>
      <w:r>
        <w:fldChar w:fldCharType="begin"/>
      </w:r>
      <w:r>
        <w:instrText xml:space="preserve"> PAGEREF _Toc1594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9762CBE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_Toc17364 </w:instrText>
      </w:r>
      <w:r>
        <w:fldChar w:fldCharType="separate"/>
      </w:r>
      <w:r>
        <w:rPr>
          <w:rFonts w:ascii="Times New Roman" w:hAnsi="Times New Roman"/>
        </w:rPr>
        <w:t>5.3. Промежуточная аттестация</w:t>
      </w:r>
      <w:r>
        <w:tab/>
      </w:r>
      <w:r>
        <w:fldChar w:fldCharType="begin"/>
      </w:r>
      <w:r>
        <w:instrText xml:space="preserve"> PAGEREF _Toc17364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B40B372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_Toc13065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_Toc13065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FB7C973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_Toc19348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_Toc19348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593DD54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_Toc29921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_Toc29921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1E97B4C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_Toc28634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_Toc28634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FCDE764">
      <w:r>
        <w:fldChar w:fldCharType="end"/>
      </w:r>
    </w:p>
    <w:p w14:paraId="41000000">
      <w:pPr>
        <w:widowControl w:val="0"/>
        <w:spacing w:after="0" w:line="240" w:lineRule="auto"/>
        <w:ind w:left="0" w:right="280"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2000000"/>
    <w:p w14:paraId="43000000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5000000">
      <w:pPr>
        <w:pStyle w:val="6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</w:p>
    <w:p w14:paraId="46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47000000">
      <w:pPr>
        <w:pStyle w:val="61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Фонд оценочных средств предназначен для оценки освоения образовательных результатов «История и философия науки»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6000000">
      <w:pPr>
        <w:numPr>
          <w:ilvl w:val="1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Конечными результатами освоения дисциплины являются сформированные «знать», «уметь», «владеть»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57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</w:t>
      </w:r>
      <w:r>
        <w:rPr>
          <w:rFonts w:ascii="Times New Roman" w:hAnsi="Times New Roman"/>
          <w:sz w:val="24"/>
          <w:lang w:val="ru-RU"/>
        </w:rPr>
        <w:t>Планируемые</w:t>
      </w:r>
      <w:r>
        <w:rPr>
          <w:rFonts w:hint="default" w:ascii="Times New Roman" w:hAnsi="Times New Roman"/>
          <w:sz w:val="24"/>
          <w:lang w:val="ru-RU"/>
        </w:rPr>
        <w:t xml:space="preserve"> р</w:t>
      </w:r>
      <w:r>
        <w:rPr>
          <w:rFonts w:ascii="Times New Roman" w:hAnsi="Times New Roman"/>
          <w:sz w:val="24"/>
        </w:rPr>
        <w:t>езультаты освоения дисциплины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1"/>
      </w:tblGrid>
      <w:tr w14:paraId="514B2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обучения</w:t>
            </w:r>
          </w:p>
        </w:tc>
      </w:tr>
      <w:tr w14:paraId="2C090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tblHeader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5A517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методы критического анализа и оценки современных научных достижений, в том числе в междисциплинарных областях</w:t>
            </w:r>
          </w:p>
          <w:p w14:paraId="64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</w:t>
            </w:r>
          </w:p>
          <w:p w14:paraId="65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14:paraId="6FA11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мира</w:t>
            </w:r>
          </w:p>
          <w:p w14:paraId="69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использовать положения и категории философии науки для анализа и оценивания различных фактов и явлений</w:t>
            </w:r>
          </w:p>
          <w:p w14:paraId="6A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Владеть: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</w:tr>
      <w:tr w14:paraId="71C58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Знать: 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6E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Уметь: следовать основным этическим нормам и правилам поведения в процессе профессиональной деятельности 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6F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навыками анализа и критической оценки основных концепций этических норм и правил поведения в процессе профессиональной деятельности</w:t>
            </w:r>
          </w:p>
        </w:tc>
      </w:tr>
      <w:tr w14:paraId="7C5C2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73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  <w:p w14:paraId="74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приемами и технологиями целеполагания, целереализации и оценки результатов деятельности по решению профессиональных задач.</w:t>
            </w:r>
          </w:p>
        </w:tc>
      </w:tr>
    </w:tbl>
    <w:p w14:paraId="7500000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7600000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основоения дисциплины</w:t>
      </w:r>
      <w:r>
        <w:rPr>
          <w:rFonts w:ascii="Times New Roman" w:hAnsi="Times New Roman"/>
          <w:sz w:val="24"/>
        </w:rPr>
        <w:t>:</w:t>
      </w:r>
    </w:p>
    <w:p w14:paraId="7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знает основные методы научно-исследовательской деятельности; </w:t>
      </w:r>
    </w:p>
    <w:p w14:paraId="7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знает основные направления, проблемы, теории и методы философии, содержание современных философских дискуссий по проблемам общественного развития;</w:t>
      </w:r>
    </w:p>
    <w:p w14:paraId="7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знает возможные сферы и направления профессиональной самореализации; приемы и технологии целеполагания и целереализации; пути достижения более высоких уровней профессионального и личного развития;</w:t>
      </w:r>
    </w:p>
    <w:p w14:paraId="7A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знает методы критического анализа и обобщения результатов научно- исследовательских работ; </w:t>
      </w:r>
    </w:p>
    <w:p w14:paraId="7B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выделяет и систематизирует основные идеи в научных текстах; критически оценивает любую поступающую информацию, вне зависимости от источника; избегает автоматического применения стандартных формул и приемов при решении задач;</w:t>
      </w:r>
    </w:p>
    <w:p w14:paraId="7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формирует и аргументированно отстаивает собственную позицию по различным проблемам философии, использует положения и категории философии для оценивания и анализа различных социальных тенденций, фактов и явлений;</w:t>
      </w:r>
    </w:p>
    <w:p w14:paraId="7D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формирует и аргументировано отстаивает принимаемые решения; использует различные подходы для анализа и оценки последствий принимаемых решений;</w:t>
      </w:r>
    </w:p>
    <w:p w14:paraId="7E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выявляет и формулирует проблемы собственного развития, исходя из этапов профессионального роста и требований рынка труда к специалисту; формулирует цели профессионального и личностного развития, оценивает свои возможности, реалистичность и адекватность намеченных способов и путей достижения планируемых целей;</w:t>
      </w:r>
    </w:p>
    <w:p w14:paraId="7F000000">
      <w:p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bookmarkStart w:id="2" w:name="_Hlk66359266"/>
      <w:r>
        <w:rPr>
          <w:rFonts w:ascii="Times New Roman" w:hAnsi="Times New Roman"/>
          <w:sz w:val="24"/>
        </w:rPr>
        <w:t xml:space="preserve">- владеет навыками сбора, обработки, анализа и систематизации информации по теме исследования, навыками выбора методов и средств решения задач; </w:t>
      </w:r>
      <w:bookmarkEnd w:id="2"/>
    </w:p>
    <w:p w14:paraId="80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владеет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зрения;</w:t>
      </w:r>
    </w:p>
    <w:p w14:paraId="8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владеет 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совершенствования; </w:t>
      </w:r>
    </w:p>
    <w:p w14:paraId="82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владеет навыками обсуждения знакомой темы, создания простого связного текста по знакомым или интересующим его темам;</w:t>
      </w:r>
    </w:p>
    <w:p w14:paraId="83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осуществляет подготовку научных рефератов и презентаций, объясняет свою точку зрения и рассказывает о своих планах.</w:t>
      </w:r>
    </w:p>
    <w:p w14:paraId="84000000">
      <w:pPr>
        <w:spacing w:after="0" w:line="240" w:lineRule="auto"/>
        <w:ind w:left="0" w:firstLine="709"/>
        <w:rPr>
          <w:rFonts w:ascii="Times New Roman" w:hAnsi="Times New Roman"/>
          <w:b/>
          <w:sz w:val="24"/>
        </w:rPr>
      </w:pPr>
    </w:p>
    <w:p w14:paraId="85000000">
      <w:pPr>
        <w:pStyle w:val="6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16172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8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8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8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8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8A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730"/>
        <w:gridCol w:w="1948"/>
        <w:gridCol w:w="1592"/>
        <w:gridCol w:w="1873"/>
      </w:tblGrid>
      <w:tr w14:paraId="7A598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 и/или разделов/тем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C000000">
            <w:pPr>
              <w:pStyle w:val="54"/>
              <w:spacing w:line="240" w:lineRule="auto"/>
              <w:contextualSpacing/>
              <w:jc w:val="center"/>
            </w:pPr>
            <w:r>
              <w:t>Формы текущего</w:t>
            </w:r>
          </w:p>
          <w:p w14:paraId="8D000000">
            <w:pPr>
              <w:pStyle w:val="66"/>
              <w:spacing w:line="240" w:lineRule="auto"/>
              <w:contextualSpacing/>
              <w:rPr>
                <w:i w:val="0"/>
              </w:rPr>
            </w:pPr>
            <w:r>
              <w:rPr>
                <w:rStyle w:val="59"/>
                <w:i w:val="0"/>
              </w:rPr>
              <w:t>контроля успеваемости</w:t>
            </w:r>
          </w:p>
          <w:p w14:paraId="8E000000">
            <w:pPr>
              <w:pStyle w:val="54"/>
              <w:spacing w:line="240" w:lineRule="auto"/>
              <w:contextualSpacing/>
              <w:jc w:val="center"/>
            </w:pPr>
            <w:r>
              <w:t>Формы промежуточной аттестации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F000000">
            <w:pPr>
              <w:pStyle w:val="54"/>
              <w:spacing w:line="240" w:lineRule="auto"/>
              <w:contextualSpacing/>
              <w:jc w:val="center"/>
            </w:pPr>
            <w:r>
              <w:t>Объекты оценивания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0000000">
            <w:pPr>
              <w:pStyle w:val="54"/>
              <w:spacing w:line="240" w:lineRule="auto"/>
              <w:contextualSpacing/>
              <w:jc w:val="center"/>
            </w:pPr>
            <w:r>
              <w:rPr>
                <w:rStyle w:val="39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Форма проведения оценки</w:t>
            </w:r>
          </w:p>
          <w:p w14:paraId="92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  <w:p w14:paraId="93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Устная/</w:t>
            </w:r>
          </w:p>
          <w:p w14:paraId="94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письменная</w:t>
            </w:r>
          </w:p>
          <w:p w14:paraId="95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  <w:p w14:paraId="96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</w:tc>
      </w:tr>
      <w:tr w14:paraId="4A770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pStyle w:val="54"/>
              <w:spacing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pStyle w:val="54"/>
              <w:spacing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A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5</w:t>
            </w:r>
          </w:p>
        </w:tc>
      </w:tr>
      <w:tr w14:paraId="798EE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C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1. Наука в системе современной философии и культуры</w:t>
            </w:r>
          </w:p>
        </w:tc>
      </w:tr>
      <w:tr w14:paraId="25628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D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1.1. Предмет и основные концепции современной философии науки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E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F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Style w:val="39"/>
                <w:sz w:val="22"/>
              </w:rPr>
              <w:t>Философия и наука в системе современной культуры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2CBD0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1.2. Наука в культуре современной цивилизации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Style w:val="39"/>
                <w:sz w:val="22"/>
              </w:rPr>
              <w:t>Философия и наука в системе современной культуры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7CFE4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7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Возникновение науки и основные этапы её исторического развития</w:t>
            </w:r>
          </w:p>
        </w:tc>
      </w:tr>
      <w:tr w14:paraId="28A5E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2.1. Генезис науки и её развитие в культуре античности, Средневековья и Возрождения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A000000">
            <w:pPr>
              <w:pStyle w:val="62"/>
              <w:contextualSpacing/>
              <w:jc w:val="center"/>
              <w:rPr>
                <w:sz w:val="22"/>
              </w:rPr>
            </w:pPr>
            <w:r>
              <w:rPr>
                <w:rStyle w:val="39"/>
                <w:sz w:val="22"/>
              </w:rPr>
              <w:t>Генезис науки и основные этапы её исторического развития.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B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C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68415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D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2.2. Становление и развитие науки Нового времени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F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Специфика новоевропейского типа классической науки.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0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1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9F60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200000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Тема 2.3. Особенности современного этапа развития науки. Перспективы НТП.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3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Образы научной рациональности в философии ХХ века.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5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6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2B454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7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3. Структура и динамика научного знания</w:t>
            </w:r>
          </w:p>
        </w:tc>
      </w:tr>
      <w:tr w14:paraId="03A98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8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3.1. Состав и структура оснований науки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9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A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Состав и структура оснований науки.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B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C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A033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D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3.2. Структура научного знания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E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F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Научное знание как сложная развивающаяся система.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0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1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0A895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2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3.3. Динамика науки как процесс порождения нового знания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3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4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Научная картина мира, её философские основания.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09AF7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4. Философско-методологические проблемы естественных и социогуманитарных наук</w:t>
            </w:r>
          </w:p>
        </w:tc>
      </w:tr>
      <w:tr w14:paraId="0A0A3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8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4.1. Философские проблемы естественнонаучного и социогуманитарного познания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9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rStyle w:val="39"/>
                <w:sz w:val="22"/>
              </w:rPr>
              <w:t>Философские проблемы социально- гуманитарных наук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C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E2C3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D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4.2. Философская антропология как основание синтеза научного знания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E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F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Философская антропология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СЗ:/доклад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1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2F17E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200000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Тема 4.3. Формы и методы научного познания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3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4000000">
            <w:pPr>
              <w:pStyle w:val="28"/>
              <w:widowControl/>
              <w:contextualSpacing/>
              <w:jc w:val="center"/>
              <w:rPr>
                <w:sz w:val="22"/>
              </w:rPr>
            </w:pPr>
            <w:r>
              <w:rPr>
                <w:rStyle w:val="39"/>
                <w:sz w:val="22"/>
              </w:rPr>
              <w:t>Методология социально-экономического познания.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5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6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653CA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8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9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A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  <w:p w14:paraId="D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C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</w:tbl>
    <w:p w14:paraId="DD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DE00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sz w:val="24"/>
        </w:rPr>
      </w:pPr>
      <w:bookmarkStart w:id="5" w:name="_Toc25648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  <w:r>
        <w:rPr>
          <w:rFonts w:ascii="Times New Roman" w:hAnsi="Times New Roman"/>
          <w:b/>
          <w:sz w:val="24"/>
        </w:rPr>
        <w:t xml:space="preserve"> </w:t>
      </w:r>
    </w:p>
    <w:p w14:paraId="DF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E0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E1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14:paraId="E2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458D8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14:paraId="14F65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858AB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22BCB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04629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студента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468BE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0FCA2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7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8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9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A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B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0C9D5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D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E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F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1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1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01412BA7">
      <w:pPr>
        <w:pStyle w:val="61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03010000">
      <w:pPr>
        <w:pStyle w:val="61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4F60A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4948B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</w:t>
            </w:r>
            <w:r>
              <w:rPr>
                <w:rFonts w:ascii="Times New Roman" w:hAnsi="Times New Roman"/>
                <w:lang w:val="ru-RU"/>
              </w:rPr>
              <w:t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</w:t>
            </w:r>
            <w:r>
              <w:rPr>
                <w:rFonts w:ascii="Times New Roman" w:hAnsi="Times New Roman"/>
                <w:lang w:val="ru-RU"/>
              </w:rPr>
              <w:t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6069A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освоена. 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ascii="Times New Roman" w:hAnsi="Times New Roman"/>
              </w:rPr>
              <w:t xml:space="preserve"> не освоена. Обучающийся частично показывает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ascii="Times New Roman" w:hAnsi="Times New Roman"/>
              </w:rPr>
              <w:t xml:space="preserve"> освоена.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13010000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515FCB0F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0C80A747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2A7BC62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1523B18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625FE91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2A7D47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CFC3F63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7A021B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1D01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21802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555F817E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D0C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93B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6D4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7795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41C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6F7D96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EF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01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1F5A73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E52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C1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7F040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466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26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BE599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32979B14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2F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30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</w:p>
    <w:p w14:paraId="31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1103F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2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</w:t>
            </w:r>
          </w:p>
        </w:tc>
      </w:tr>
      <w:tr w14:paraId="4C6A4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5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Неудовлетворительно</w:t>
            </w:r>
          </w:p>
        </w:tc>
      </w:tr>
      <w:tr w14:paraId="78CE1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6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7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 w14:paraId="5C652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9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 w14:paraId="31CCC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A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</w:tbl>
    <w:p w14:paraId="3C010000">
      <w:pPr>
        <w:pStyle w:val="42"/>
        <w:widowControl/>
        <w:spacing w:line="240" w:lineRule="auto"/>
        <w:ind w:left="0" w:firstLine="706"/>
        <w:rPr>
          <w:rStyle w:val="37"/>
          <w:b w:val="0"/>
          <w:i/>
          <w:sz w:val="24"/>
        </w:rPr>
      </w:pPr>
    </w:p>
    <w:p w14:paraId="3D010000">
      <w:pPr>
        <w:pStyle w:val="42"/>
        <w:widowControl/>
        <w:spacing w:line="240" w:lineRule="auto"/>
        <w:ind w:left="0" w:firstLine="706"/>
        <w:rPr>
          <w:rStyle w:val="37"/>
          <w:b w:val="0"/>
          <w:i/>
          <w:sz w:val="24"/>
        </w:rPr>
      </w:pPr>
    </w:p>
    <w:p w14:paraId="3E01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7" w:name="_Toc27930"/>
      <w:r>
        <w:rPr>
          <w:rFonts w:ascii="Times New Roman" w:hAnsi="Times New Roman"/>
          <w:b/>
          <w:sz w:val="24"/>
        </w:rPr>
        <w:t>Перечень заданий по дисциплине</w:t>
      </w:r>
      <w:bookmarkEnd w:id="7"/>
    </w:p>
    <w:p w14:paraId="3F010000">
      <w:pPr>
        <w:pStyle w:val="61"/>
        <w:numPr>
          <w:ilvl w:val="1"/>
          <w:numId w:val="1"/>
        </w:numPr>
        <w:spacing w:after="24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8" w:name="_Toc993"/>
      <w:r>
        <w:rPr>
          <w:rFonts w:ascii="Times New Roman" w:hAnsi="Times New Roman"/>
          <w:b/>
          <w:sz w:val="24"/>
        </w:rPr>
        <w:t>Задания для текущего контроля:</w:t>
      </w:r>
      <w:bookmarkEnd w:id="8"/>
    </w:p>
    <w:p w14:paraId="40010000">
      <w:pPr>
        <w:pStyle w:val="61"/>
        <w:spacing w:before="240" w:after="0" w:line="240" w:lineRule="auto"/>
        <w:ind w:left="0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- 5.1.1. Перечень заданий текущего контроля и их наименование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7175"/>
      </w:tblGrid>
      <w:tr w14:paraId="4504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10000">
            <w:pPr>
              <w:pStyle w:val="54"/>
              <w:spacing w:line="240" w:lineRule="auto"/>
              <w:jc w:val="center"/>
              <w:rPr>
                <w:color w:val="000000"/>
                <w:sz w:val="24"/>
              </w:rPr>
            </w:pPr>
            <w:r>
              <w:rPr>
                <w:rStyle w:val="39"/>
                <w:color w:val="000000"/>
                <w:sz w:val="24"/>
              </w:rPr>
              <w:t>Наименование оценочных средств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010000">
            <w:pPr>
              <w:pStyle w:val="54"/>
              <w:spacing w:line="240" w:lineRule="auto"/>
              <w:jc w:val="center"/>
              <w:rPr>
                <w:rStyle w:val="39"/>
                <w:color w:val="000000"/>
                <w:sz w:val="24"/>
              </w:rPr>
            </w:pPr>
          </w:p>
          <w:p w14:paraId="43010000">
            <w:pPr>
              <w:pStyle w:val="54"/>
              <w:spacing w:line="240" w:lineRule="auto"/>
              <w:jc w:val="center"/>
              <w:rPr>
                <w:rStyle w:val="39"/>
                <w:color w:val="000000"/>
                <w:sz w:val="24"/>
              </w:rPr>
            </w:pPr>
            <w:r>
              <w:rPr>
                <w:rStyle w:val="39"/>
                <w:color w:val="000000"/>
                <w:sz w:val="24"/>
              </w:rPr>
              <w:t>Содержание задания</w:t>
            </w:r>
          </w:p>
        </w:tc>
      </w:tr>
      <w:tr w14:paraId="57F40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1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010000">
            <w:pPr>
              <w:pStyle w:val="42"/>
              <w:widowControl/>
              <w:tabs>
                <w:tab w:val="left" w:leader="underscore" w:pos="7027"/>
              </w:tabs>
              <w:spacing w:line="240" w:lineRule="auto"/>
              <w:ind w:left="0" w:firstLine="0"/>
              <w:jc w:val="left"/>
              <w:rPr>
                <w:i/>
                <w:sz w:val="22"/>
              </w:rPr>
            </w:pPr>
            <w:r>
              <w:rPr>
                <w:rStyle w:val="39"/>
                <w:sz w:val="22"/>
              </w:rPr>
              <w:t>Темы докладов:</w:t>
            </w:r>
          </w:p>
          <w:p w14:paraId="46010000">
            <w:pPr>
              <w:pStyle w:val="62"/>
              <w:numPr>
                <w:ilvl w:val="0"/>
                <w:numId w:val="2"/>
              </w:numPr>
              <w:ind w:left="527" w:firstLine="0"/>
              <w:jc w:val="both"/>
              <w:rPr>
                <w:sz w:val="22"/>
              </w:rPr>
            </w:pPr>
            <w:r>
              <w:rPr>
                <w:sz w:val="22"/>
              </w:rPr>
              <w:t>Философия и наука: особенности взаимодействия.</w:t>
            </w:r>
          </w:p>
          <w:p w14:paraId="47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>Роль науки в современном обществе.</w:t>
            </w:r>
          </w:p>
          <w:p w14:paraId="48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>Наука и политическое сознание.</w:t>
            </w:r>
          </w:p>
          <w:p w14:paraId="49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>Наука и искусство.</w:t>
            </w:r>
          </w:p>
          <w:p w14:paraId="4A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>Этика науки.</w:t>
            </w:r>
          </w:p>
          <w:p w14:paraId="4B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Наука и религия: проблемы диалога.</w:t>
            </w:r>
          </w:p>
          <w:p w14:paraId="4C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Проблемы возникновения науки.</w:t>
            </w:r>
          </w:p>
          <w:p w14:paraId="4D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Наука в культуре Древнего Востока</w:t>
            </w:r>
          </w:p>
          <w:p w14:paraId="4E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Античная наука и её особенности.</w:t>
            </w:r>
          </w:p>
          <w:p w14:paraId="4F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Западноевропейская наука и её особенности.</w:t>
            </w:r>
          </w:p>
          <w:p w14:paraId="50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Специфика новоевропейского типа классической науки.</w:t>
            </w:r>
          </w:p>
          <w:p w14:paraId="51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Образы научной рациональности в философии ХХ века.</w:t>
            </w:r>
          </w:p>
          <w:p w14:paraId="52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Философская антропология- основание синтеза современного научного знания о человеке</w:t>
            </w:r>
          </w:p>
          <w:p w14:paraId="53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Диалектическое единство человека со Вселенной.</w:t>
            </w:r>
          </w:p>
          <w:p w14:paraId="54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Русский космизм</w:t>
            </w:r>
          </w:p>
          <w:p w14:paraId="55010000">
            <w:pPr>
              <w:pStyle w:val="62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>Перспективы развития человека. Глобальные проблемы техногенной цивилизации.</w:t>
            </w:r>
          </w:p>
        </w:tc>
      </w:tr>
      <w:tr w14:paraId="283C2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1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10000">
            <w:pPr>
              <w:pStyle w:val="62"/>
              <w:ind w:left="167" w:firstLine="0"/>
              <w:rPr>
                <w:sz w:val="22"/>
              </w:rPr>
            </w:pPr>
            <w:r>
              <w:rPr>
                <w:sz w:val="22"/>
              </w:rPr>
              <w:t>3.1. Состав и структура оснований науки</w:t>
            </w:r>
          </w:p>
        </w:tc>
      </w:tr>
      <w:tr w14:paraId="451B1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EE4234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Базисные ценности научной деятельности, идеалы нормы научного исследования.</w:t>
            </w:r>
          </w:p>
        </w:tc>
      </w:tr>
      <w:tr w14:paraId="1EB74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F456C7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Стиль научного мышления, его исторический характер и категориальный строй.</w:t>
            </w:r>
          </w:p>
        </w:tc>
      </w:tr>
      <w:tr w14:paraId="1AC9E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D58B3B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Мировоззренческое содержание науки и его связь с философскими представлениями.</w:t>
            </w:r>
          </w:p>
        </w:tc>
      </w:tr>
      <w:tr w14:paraId="3D03B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A4D61B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Многообразие типов и форм научного знания.</w:t>
            </w:r>
          </w:p>
        </w:tc>
      </w:tr>
      <w:tr w14:paraId="483B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AA96C6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Эмпирический и теоретический уровни: содержание и критерии их различения.</w:t>
            </w:r>
          </w:p>
        </w:tc>
      </w:tr>
      <w:tr w14:paraId="6E6C2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10894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Философские предпосылки научных теорий.</w:t>
            </w:r>
          </w:p>
        </w:tc>
      </w:tr>
      <w:tr w14:paraId="4DB85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F239FE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Понятие научной картины мира.</w:t>
            </w:r>
          </w:p>
        </w:tc>
      </w:tr>
      <w:tr w14:paraId="732EC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E10373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Исторические формы научной картины мира.</w:t>
            </w:r>
          </w:p>
        </w:tc>
      </w:tr>
      <w:tr w14:paraId="4E4B6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E14AF5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Функции научной картины мира: картина мира как онтология, форма систематизации знания</w:t>
            </w:r>
          </w:p>
        </w:tc>
      </w:tr>
      <w:tr w14:paraId="1805E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61F453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Понятие обоснования и доказательства. Исторический характер доказательства и его диалектическая природа.</w:t>
            </w:r>
          </w:p>
        </w:tc>
      </w:tr>
      <w:tr w14:paraId="0B2A5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F0990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010000">
            <w:pPr>
              <w:pStyle w:val="28"/>
              <w:widowControl/>
              <w:numPr>
                <w:ilvl w:val="0"/>
                <w:numId w:val="3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Роль философских идей, принципов и методов в обосновании и развитии научного знания.</w:t>
            </w:r>
          </w:p>
        </w:tc>
      </w:tr>
      <w:tr w14:paraId="3DEF1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F448C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010000">
            <w:pPr>
              <w:pStyle w:val="28"/>
              <w:widowControl/>
              <w:ind w:left="57" w:firstLine="0"/>
              <w:rPr>
                <w:sz w:val="22"/>
              </w:rPr>
            </w:pPr>
            <w:r>
              <w:t>3.2. Научное знание как сложная развивающаяся система.</w:t>
            </w:r>
          </w:p>
        </w:tc>
      </w:tr>
      <w:tr w14:paraId="5F586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66F3C4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Феномен веры. Чувства, разум и воля как основание веры</w:t>
            </w:r>
          </w:p>
        </w:tc>
      </w:tr>
      <w:tr w14:paraId="2DF66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FF808D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Вера и понимание. Знание и вера. Вера и истина.</w:t>
            </w:r>
          </w:p>
        </w:tc>
      </w:tr>
      <w:tr w14:paraId="2E1B4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6E9A71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Субъективная вера как основа познания и жизнедеятельности человека.</w:t>
            </w:r>
          </w:p>
        </w:tc>
      </w:tr>
      <w:tr w14:paraId="3B7D8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D3CBB2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Скрытый, латентный характер верований как ценностных и эмпирических представлений познающего субъекта.</w:t>
            </w:r>
          </w:p>
        </w:tc>
      </w:tr>
      <w:tr w14:paraId="7FCDF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0E8A04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Философская и религиозная вера.</w:t>
            </w:r>
          </w:p>
        </w:tc>
      </w:tr>
      <w:tr w14:paraId="69B47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E71FA1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Сомнение как рефлексия над основаниями знания, личного и социального опыта. Диалектика веры  сомнения, их отношение к научной рациональности.</w:t>
            </w:r>
          </w:p>
        </w:tc>
      </w:tr>
      <w:tr w14:paraId="775E3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B6EE15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Достоверность знания, его научно- рациональные основания. Способы повышения достоверности знания в социально- гуманитарных науках.</w:t>
            </w:r>
          </w:p>
        </w:tc>
      </w:tr>
      <w:tr w14:paraId="5680C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23A4D3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История развития наук об обществе, культуре и человеке.</w:t>
            </w:r>
          </w:p>
        </w:tc>
      </w:tr>
      <w:tr w14:paraId="7C28E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69122D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Специфика объекта и субъекта в социально- гуманитарном познании и её применении в педагогике.</w:t>
            </w:r>
          </w:p>
        </w:tc>
      </w:tr>
      <w:tr w14:paraId="6EB3B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6B4164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Особенности социально- исторического детерминизма. Проблемы социальных законов и причинности, идеалов, норм и ценностей в социально- гуманитарных науках.</w:t>
            </w:r>
          </w:p>
        </w:tc>
      </w:tr>
      <w:tr w14:paraId="4A089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EE1729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Формы и методы социогуманитарного познания. Проблема истины и рациональности в гуманитарных науках и образовании.</w:t>
            </w:r>
          </w:p>
        </w:tc>
      </w:tr>
      <w:tr w14:paraId="1E225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DC4372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10000">
            <w:pPr>
              <w:pStyle w:val="28"/>
              <w:widowControl/>
              <w:numPr>
                <w:ilvl w:val="0"/>
                <w:numId w:val="4"/>
              </w:numPr>
              <w:ind w:left="39" w:firstLine="321"/>
              <w:rPr>
                <w:sz w:val="22"/>
              </w:rPr>
            </w:pPr>
            <w:r>
              <w:rPr>
                <w:sz w:val="22"/>
              </w:rPr>
              <w:t>Направления и перспективы развития социально- гуманитарных наук в условиях модернизма, постмодернизма и глобализации.</w:t>
            </w:r>
          </w:p>
        </w:tc>
      </w:tr>
      <w:tr w14:paraId="1222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427E7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010000">
            <w:pPr>
              <w:pStyle w:val="62"/>
              <w:ind w:left="167" w:firstLine="0"/>
              <w:rPr>
                <w:sz w:val="22"/>
              </w:rPr>
            </w:pPr>
            <w:r>
              <w:t>3.3. Научная картина мира, её философские основания.</w:t>
            </w:r>
          </w:p>
        </w:tc>
      </w:tr>
      <w:tr w14:paraId="3D460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E099CB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10000">
            <w:pPr>
              <w:pStyle w:val="28"/>
              <w:widowControl/>
              <w:numPr>
                <w:ilvl w:val="0"/>
                <w:numId w:val="5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Становление философии истории. Принцип историзма в европейской философии.</w:t>
            </w:r>
          </w:p>
        </w:tc>
      </w:tr>
      <w:tr w14:paraId="0094F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A1286D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10000">
            <w:pPr>
              <w:pStyle w:val="28"/>
              <w:widowControl/>
              <w:numPr>
                <w:ilvl w:val="0"/>
                <w:numId w:val="5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Предмет философии истории и её соотношение с другими социогуманитарными дисциплинами. Философия истории как система: общие идеи, принципы и категории.</w:t>
            </w:r>
          </w:p>
        </w:tc>
      </w:tr>
      <w:tr w14:paraId="7358D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5251EC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10000">
            <w:pPr>
              <w:pStyle w:val="28"/>
              <w:widowControl/>
              <w:numPr>
                <w:ilvl w:val="0"/>
                <w:numId w:val="5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Онтология истории. Проблема социально- исторической реальности: сущность и существование, возможность и действительность, необходимость и случайность. Пространственно- временные характеристики истории.</w:t>
            </w:r>
          </w:p>
        </w:tc>
      </w:tr>
      <w:tr w14:paraId="485DA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3A9EEA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10000">
            <w:pPr>
              <w:pStyle w:val="28"/>
              <w:widowControl/>
              <w:numPr>
                <w:ilvl w:val="0"/>
                <w:numId w:val="5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Эпистемология истории. Историческая истина и её критерии. Понимание и переживание истории, проблема исторического предвидения.</w:t>
            </w:r>
          </w:p>
        </w:tc>
      </w:tr>
      <w:tr w14:paraId="5A214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820585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10000">
            <w:pPr>
              <w:pStyle w:val="28"/>
              <w:widowControl/>
              <w:numPr>
                <w:ilvl w:val="0"/>
                <w:numId w:val="5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Проблема смысла, целей и механизмов социально- исторического развития: формационный и цивилизационный подходы. Социальный детерминизм и социально- исторический прогресс.</w:t>
            </w:r>
          </w:p>
        </w:tc>
      </w:tr>
      <w:tr w14:paraId="755DE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A971CD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10000">
            <w:pPr>
              <w:pStyle w:val="28"/>
              <w:widowControl/>
              <w:ind w:left="243" w:firstLine="0"/>
            </w:pPr>
            <w:r>
              <w:rPr>
                <w:rStyle w:val="39"/>
                <w:sz w:val="24"/>
              </w:rPr>
              <w:t>4.1. Философские проблемы социально-гуманитарных наук.</w:t>
            </w:r>
          </w:p>
        </w:tc>
      </w:tr>
      <w:tr w14:paraId="29369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4E4C1D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10000">
            <w:pPr>
              <w:pStyle w:val="28"/>
              <w:widowControl/>
              <w:numPr>
                <w:ilvl w:val="0"/>
                <w:numId w:val="6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Понятие методологии науки. Уровни и методы научного познания.</w:t>
            </w:r>
          </w:p>
        </w:tc>
      </w:tr>
      <w:tr w14:paraId="03680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2A780E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010000">
            <w:pPr>
              <w:pStyle w:val="28"/>
              <w:widowControl/>
              <w:numPr>
                <w:ilvl w:val="0"/>
                <w:numId w:val="6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Соотношение классической и современной методологии науки.</w:t>
            </w:r>
          </w:p>
        </w:tc>
      </w:tr>
      <w:tr w14:paraId="26A54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DF4570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10000">
            <w:pPr>
              <w:pStyle w:val="28"/>
              <w:widowControl/>
              <w:numPr>
                <w:ilvl w:val="0"/>
                <w:numId w:val="6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Специфика методологии социально- экономического познания.</w:t>
            </w:r>
          </w:p>
        </w:tc>
      </w:tr>
      <w:tr w14:paraId="5BD6E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1AE852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10000">
            <w:pPr>
              <w:pStyle w:val="28"/>
              <w:widowControl/>
              <w:numPr>
                <w:ilvl w:val="0"/>
                <w:numId w:val="6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Диалектика субъективного и объективного факторов.</w:t>
            </w:r>
          </w:p>
        </w:tc>
      </w:tr>
      <w:tr w14:paraId="22A0C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A8C2C7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10000">
            <w:pPr>
              <w:pStyle w:val="28"/>
              <w:widowControl/>
              <w:numPr>
                <w:ilvl w:val="1"/>
                <w:numId w:val="6"/>
              </w:numPr>
              <w:tabs>
                <w:tab w:val="left" w:pos="464"/>
              </w:tabs>
              <w:ind w:left="0" w:firstLine="39"/>
            </w:pPr>
            <w:r>
              <w:rPr>
                <w:rStyle w:val="39"/>
                <w:sz w:val="24"/>
              </w:rPr>
              <w:t xml:space="preserve"> Методология социально-экономического познания</w:t>
            </w:r>
          </w:p>
        </w:tc>
      </w:tr>
      <w:tr w14:paraId="5CC8F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2D9EDB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010000">
            <w:pPr>
              <w:pStyle w:val="28"/>
              <w:widowControl/>
              <w:numPr>
                <w:ilvl w:val="0"/>
                <w:numId w:val="7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Предмет и метод философии хозяйства.</w:t>
            </w:r>
          </w:p>
        </w:tc>
      </w:tr>
      <w:tr w14:paraId="6CEAB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24B2F8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010000">
            <w:pPr>
              <w:pStyle w:val="28"/>
              <w:widowControl/>
              <w:numPr>
                <w:ilvl w:val="0"/>
                <w:numId w:val="7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Проблема экономической определенности человека в философских концепциях.</w:t>
            </w:r>
          </w:p>
        </w:tc>
      </w:tr>
      <w:tr w14:paraId="1DB16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B4023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010000">
            <w:pPr>
              <w:pStyle w:val="28"/>
              <w:widowControl/>
              <w:numPr>
                <w:ilvl w:val="0"/>
                <w:numId w:val="7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Человек, природа и труд.</w:t>
            </w:r>
          </w:p>
        </w:tc>
      </w:tr>
      <w:tr w14:paraId="49874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D03889"/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010000">
            <w:pPr>
              <w:pStyle w:val="28"/>
              <w:widowControl/>
              <w:numPr>
                <w:ilvl w:val="0"/>
                <w:numId w:val="7"/>
              </w:numPr>
              <w:ind w:left="101" w:firstLine="142"/>
              <w:rPr>
                <w:sz w:val="22"/>
              </w:rPr>
            </w:pPr>
            <w:r>
              <w:rPr>
                <w:sz w:val="22"/>
              </w:rPr>
              <w:t>Философские аспекты экономической теории.</w:t>
            </w:r>
          </w:p>
        </w:tc>
      </w:tr>
    </w:tbl>
    <w:p w14:paraId="80010000">
      <w:pPr>
        <w:pStyle w:val="61"/>
        <w:spacing w:after="0" w:line="240" w:lineRule="auto"/>
        <w:ind w:left="0" w:firstLine="0"/>
        <w:rPr>
          <w:rFonts w:ascii="Times New Roman" w:hAnsi="Times New Roman"/>
          <w:i/>
          <w:sz w:val="24"/>
        </w:rPr>
      </w:pPr>
    </w:p>
    <w:p w14:paraId="81010000">
      <w:pPr>
        <w:pStyle w:val="61"/>
        <w:numPr>
          <w:ilvl w:val="1"/>
          <w:numId w:val="1"/>
        </w:numPr>
        <w:spacing w:after="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9" w:name="_Toc1594"/>
      <w:r>
        <w:rPr>
          <w:rFonts w:ascii="Times New Roman" w:hAnsi="Times New Roman"/>
          <w:b/>
          <w:sz w:val="24"/>
        </w:rPr>
        <w:t>Контрольные точки</w:t>
      </w:r>
      <w:bookmarkEnd w:id="9"/>
      <w:r>
        <w:rPr>
          <w:rFonts w:ascii="Times New Roman" w:hAnsi="Times New Roman"/>
          <w:b/>
          <w:sz w:val="24"/>
        </w:rPr>
        <w:t xml:space="preserve"> </w:t>
      </w:r>
    </w:p>
    <w:p w14:paraId="82010000">
      <w:pPr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83010000">
      <w:pPr>
        <w:pStyle w:val="61"/>
        <w:numPr>
          <w:ilvl w:val="0"/>
          <w:numId w:val="8"/>
        </w:numPr>
        <w:spacing w:after="0" w:line="24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ПРЕЗЕНТАЦИЯ РЕФЕРАТА ПО ВЫБРАННОЙ ТЕМЕ.</w:t>
      </w:r>
    </w:p>
    <w:p w14:paraId="84010000">
      <w:pPr>
        <w:pStyle w:val="56"/>
        <w:ind w:left="0" w:firstLine="709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Презентация не должна существовать «сама по себе», она лишь дополняет реферат. Поэтому без текста готового реферата нет смысла приступать к ее созданию.</w:t>
      </w:r>
    </w:p>
    <w:p w14:paraId="8501000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8601000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Алгоритм создания презентации:</w:t>
      </w:r>
    </w:p>
    <w:p w14:paraId="8701000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Составление плана презентации </w:t>
      </w:r>
    </w:p>
    <w:p w14:paraId="88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титульный слайд;</w:t>
      </w:r>
    </w:p>
    <w:p w14:paraId="89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содержание;</w:t>
      </w:r>
    </w:p>
    <w:p w14:paraId="8A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актуальность темы;</w:t>
      </w:r>
    </w:p>
    <w:p w14:paraId="8B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цель и задачи, выделенные в реферате;</w:t>
      </w:r>
    </w:p>
    <w:p w14:paraId="8C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основные тезисы реферата, иллюстрированные картинками, схемами, видео</w:t>
      </w: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;</w:t>
      </w:r>
    </w:p>
    <w:p w14:paraId="8D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выводы, заключение;</w:t>
      </w:r>
    </w:p>
    <w:p w14:paraId="8E010000">
      <w:pPr>
        <w:pStyle w:val="61"/>
        <w:numPr>
          <w:ilvl w:val="0"/>
          <w:numId w:val="9"/>
        </w:numPr>
        <w:spacing w:after="0" w:line="240" w:lineRule="auto"/>
        <w:ind w:left="357" w:firstLine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список использованных источников.</w:t>
      </w:r>
    </w:p>
    <w:p w14:paraId="8F01000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9001000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Создание и наполнение презентации</w:t>
      </w:r>
    </w:p>
    <w:p w14:paraId="91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1. Титульный слайд, на котором нужно указать название образовательного учреждения, тему, автора (ФИО обучающегося, курс, группа), руководителя работы или преподавателя (ФИО, ученую степень и должность), город, год. Все эти данные берем из титульного листа реферата.</w:t>
      </w:r>
    </w:p>
    <w:p w14:paraId="92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2. Содержание. Для удобства использования презентации, можно снабдить этот слайд навигацией с гиперссылками.</w:t>
      </w:r>
    </w:p>
    <w:p w14:paraId="93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3. Актуальность темы. Ее берем из реферата, но текста не должно быть много. Лучше разбить информацию на блоки и вставить иллюстрацию, оказывающую эмоциональное воздействие на аудиторию и имеющую прямое отношение к теме.</w:t>
      </w:r>
    </w:p>
    <w:p w14:paraId="94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4. Цель и задачи. Нужно обратить внимание: цель обычно одна и она глобальна. Задач может быть несколько, они конкретизируют поставленную цель.</w:t>
      </w:r>
    </w:p>
    <w:p w14:paraId="95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Слайды 5-10. Раскрытие темы. Здесь должны быть очень кратко представлены основные разделы реферата. Аудитория не будет читать текст на слайде. Можно привести несколько определений ключевых понятий, а остальную информацию представить графически, т.е. необходимо следовать принципу наглядности.</w:t>
      </w:r>
    </w:p>
    <w:p w14:paraId="96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11. Выводы. Копируем их из реферата. </w:t>
      </w:r>
    </w:p>
    <w:p w14:paraId="97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12. Заключение. Текст заключения так же копируем из реферата. Его следует озвучить, так создастся впечатление завершенности выступления.</w:t>
      </w:r>
    </w:p>
    <w:p w14:paraId="98010000">
      <w:pPr>
        <w:pStyle w:val="61"/>
        <w:numPr>
          <w:ilvl w:val="0"/>
          <w:numId w:val="9"/>
        </w:numPr>
        <w:spacing w:after="0" w:line="240" w:lineRule="auto"/>
        <w:ind w:left="357" w:firstLine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Слайд 13. Список литературы и онлайн ресурсов. Берем готовый список из реферата.</w:t>
      </w:r>
    </w:p>
    <w:p w14:paraId="99010000">
      <w:pPr>
        <w:pStyle w:val="6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Для реферата объемом 20-25 стр. объем презентации обычно около 10-15 слайдов.</w:t>
      </w: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9A010000">
      <w:pPr>
        <w:pStyle w:val="61"/>
        <w:spacing w:after="0" w:line="240" w:lineRule="auto"/>
        <w:ind w:left="0" w:firstLine="72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Стандартное время на выступление с презентацией к реферату обычно составляет 5-7 минут.</w:t>
      </w:r>
    </w:p>
    <w:p w14:paraId="9B010000">
      <w:pPr>
        <w:pStyle w:val="61"/>
        <w:spacing w:after="0" w:line="240" w:lineRule="auto"/>
        <w:rPr>
          <w:rFonts w:ascii="Times New Roman" w:hAnsi="Times New Roman"/>
          <w:color w:val="222222"/>
          <w:sz w:val="24"/>
        </w:rPr>
      </w:pPr>
    </w:p>
    <w:p w14:paraId="9C010000">
      <w:pPr>
        <w:pStyle w:val="6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РЕФЕРАТА ПО ВЫБРАННОЙ ТЕМЕ.</w:t>
      </w:r>
    </w:p>
    <w:p w14:paraId="9D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Реферат по дисциплине «История и философия науки» является письменной, самостоятельной творческой работой, обязательной для аспирантов (соискателей), готовящихся к сдаче экзамена по курсу «История и философия науки».</w:t>
      </w:r>
    </w:p>
    <w:p w14:paraId="9E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 должна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</w:p>
    <w:p w14:paraId="9F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</w:p>
    <w:p w14:paraId="A0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Реферат оформляется в соответствии с требованиями к оформлению письменных работ обучающимися и представляется в электронном и распечатанном виде.</w:t>
      </w:r>
    </w:p>
    <w:p w14:paraId="A1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Тема реферата выбирается аспирантом (соискателем) и окончательно формулируется вместе со своим научным руководителем и с преподавателем, ведущим практические занятия по дисциплине «Истории и философии науки».</w:t>
      </w:r>
    </w:p>
    <w:p w14:paraId="A2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Реферат должен отвечать двум требованиям:</w:t>
      </w:r>
    </w:p>
    <w:p w14:paraId="A3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определяться сферой научных интересов аспиранта (соискателя);</w:t>
      </w:r>
    </w:p>
    <w:p w14:paraId="A4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соответствовать программе изучаемого курса.</w:t>
      </w:r>
    </w:p>
    <w:p w14:paraId="A5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СТРУКТУРА РЕФЕРАТА</w:t>
      </w:r>
    </w:p>
    <w:p w14:paraId="A6010000">
      <w:p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Титульный лист.</w:t>
      </w:r>
    </w:p>
    <w:p w14:paraId="A7010000">
      <w:p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Основной текст, состоящий из введения; основной части (2-3 главы, в каждой главе могут быть 2-3 параграфа); заключения (выводы, рекомендации).</w:t>
      </w:r>
    </w:p>
    <w:p w14:paraId="A8010000">
      <w:p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Список использованной литературы.</w:t>
      </w:r>
    </w:p>
    <w:p w14:paraId="A9010000">
      <w:p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Приложения (если имеются).</w:t>
      </w:r>
    </w:p>
    <w:p w14:paraId="AA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ВЕДЕНИЕ - не более 2-2,5 страниц. Во введении должны получить отражение следующие вопросы:</w:t>
      </w:r>
    </w:p>
    <w:p w14:paraId="AB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постановка проблемы;</w:t>
      </w:r>
    </w:p>
    <w:p w14:paraId="AC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обоснование актуальности темы, новизны и практической значимости;</w:t>
      </w:r>
    </w:p>
    <w:p w14:paraId="AD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определение объекта, предмета, цели и задачи реферата;</w:t>
      </w:r>
    </w:p>
    <w:p w14:paraId="AE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определение круга рассматриваемых вопросов;</w:t>
      </w:r>
    </w:p>
    <w:p w14:paraId="AF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краткая характеристика использованной литературы и методологии исследования.</w:t>
      </w:r>
    </w:p>
    <w:p w14:paraId="B0010000">
      <w:p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ЧАСТЬ - 2-3 самостоятельных пункта, логически связанных между собой, каждый из которых раскрывает основную проблему исследования.</w:t>
      </w:r>
    </w:p>
    <w:p w14:paraId="B1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часть работы должна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</w:t>
      </w:r>
    </w:p>
    <w:p w14:paraId="B2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Название глав не может повторять тему реферата. Каждая из них имеет свое название, выражающее существо рассматриваемого в ней вопроса.</w:t>
      </w:r>
    </w:p>
    <w:p w14:paraId="B3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Между главами должны существовать логическая связь и содержательная преемственность, достигаемые правильным распределением теоретического и эмпирического материала.</w:t>
      </w:r>
    </w:p>
    <w:p w14:paraId="B4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 цитаты, цифры, описания фактов должны сопровождаться ссылками на источники с указанием года издания книги, номера научного журнала и страницы, на которой опубликован цитируемый материал.</w:t>
      </w:r>
    </w:p>
    <w:p w14:paraId="B5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ЗАКЛЮЧЕНИЕ - 3-3,5 страницы, содержащее обоснованный вывод, полученный автором реферативного исследования и указание перспективы дальнейших поисков в данной области.</w:t>
      </w:r>
    </w:p>
    <w:p w14:paraId="B6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СПИСОК ИСПОЛЬЗОВАННОЙ ЛИТЕРАТУРЫ - не менее 5 и не более 30 позиций должен содержать:</w:t>
      </w:r>
    </w:p>
    <w:p w14:paraId="B7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источники (авторские тексты крупных философов и ученых);</w:t>
      </w:r>
    </w:p>
    <w:p w14:paraId="B8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комментаторские работы известных специалистов (монографии и статьи);</w:t>
      </w:r>
    </w:p>
    <w:p w14:paraId="B9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научные публикации последних 5 лет по указанной теме, включая диссертационные исследования;</w:t>
      </w:r>
    </w:p>
    <w:p w14:paraId="BA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не менее одной работы на иностранном языке;</w:t>
      </w:r>
    </w:p>
    <w:p w14:paraId="BB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использование энциклопедий и словарей разрешается, если необходимо уточнить словарное употребление какого-либо термина;</w:t>
      </w:r>
    </w:p>
    <w:p w14:paraId="BC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ссылки на электронный ресурс не должны превышать 1/3 общего объема; должна быть указана дата обращения.</w:t>
      </w:r>
    </w:p>
    <w:p w14:paraId="BD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Список литературы оформляется в соответствии с требованиями ГОСТ 7.1- 2003 «Библиографическая запись. Библиографическое описание. Общие требования и правила составления»</w:t>
      </w:r>
    </w:p>
    <w:p w14:paraId="BE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ПРИЛОЖЕНИЯ, если имеются, могут включать таблицы, диаграммы, графики и другие формы представления научной информации.</w:t>
      </w:r>
    </w:p>
    <w:p w14:paraId="BF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Таким образом, реферат должен представлять собой не только классическую компиляцию, но и научное рассмотрение заявленной в нем темы, что предполагает ее самостоятельный анализ, по меньшей мере, развернуто комментирующий существующие подходы и положения.</w:t>
      </w:r>
    </w:p>
    <w:p w14:paraId="C0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Проверка реферата аспиранта осуществляется преподавателем, ведущим практические занятия по дисциплине «История и философия науки».</w:t>
      </w:r>
    </w:p>
    <w:p w14:paraId="C1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титульном листе реферата должна быть виза научного руководителя аспиранта (соискателя).</w:t>
      </w:r>
    </w:p>
    <w:p w14:paraId="C2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C3010000">
      <w:pPr>
        <w:pStyle w:val="61"/>
        <w:numPr>
          <w:ilvl w:val="1"/>
          <w:numId w:val="1"/>
        </w:numPr>
        <w:spacing w:before="120" w:after="12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10" w:name="_Toc17364"/>
      <w:r>
        <w:rPr>
          <w:rFonts w:ascii="Times New Roman" w:hAnsi="Times New Roman"/>
          <w:b/>
          <w:sz w:val="24"/>
        </w:rPr>
        <w:t>Промежуточная аттестация</w:t>
      </w:r>
      <w:bookmarkEnd w:id="10"/>
    </w:p>
    <w:p w14:paraId="C4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Критериями оценки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bookmarkStart w:id="17" w:name="_GoBack"/>
      <w:bookmarkEnd w:id="17"/>
      <w:r>
        <w:rPr>
          <w:rFonts w:ascii="Times New Roman" w:hAnsi="Times New Roman"/>
          <w:color w:val="000000"/>
          <w:sz w:val="24"/>
        </w:rPr>
        <w:t>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Каждый вопрос экзаменационного билета оценивается по пятибалльной шкале.</w:t>
      </w:r>
    </w:p>
    <w:p w14:paraId="C5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Экзаменационной комиссией выставляется общая оценка за экзамен.</w:t>
      </w:r>
    </w:p>
    <w:p w14:paraId="C6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оценке ответа учитываются следующие параметры:</w:t>
      </w:r>
    </w:p>
    <w:p w14:paraId="C7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C8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5.1 - Критерии оценивания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413"/>
        <w:gridCol w:w="1401"/>
      </w:tblGrid>
      <w:tr w14:paraId="72BE4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9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A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B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 w14:paraId="49043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C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D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грамотно оперировать понятийно-категориальным аппаратом по теме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E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17E53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F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четко формулировать проблему, доказательно аргументировать выдвигаемые тезисы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141F6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3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проводить междисциплинарные связи, связывая теоретические положения сообщения с современной жизнью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4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балла</w:t>
            </w:r>
          </w:p>
        </w:tc>
      </w:tr>
      <w:tr w14:paraId="4D74E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5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6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 научные примеры и факты в их взаимообусловленности и взаимосвязи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3455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баллов</w:t>
            </w:r>
          </w:p>
        </w:tc>
      </w:tr>
    </w:tbl>
    <w:p w14:paraId="DB010000">
      <w:pPr>
        <w:pStyle w:val="61"/>
        <w:spacing w:before="120" w:after="12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 по каждому вопросу на экзамене должен отражать системность философского знания, заключающуюся в том, что каждая категория философии имплицитно содержит в себе всю совокупность логико-познавательного инструментария философской науки. На экзамене членами приемной комиссией могут быть заданы дополнительные или уточняющие вопросы.</w:t>
      </w:r>
    </w:p>
    <w:p w14:paraId="DC010000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5.2 - Критерии оценивания экзаменационного ответа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268"/>
        <w:gridCol w:w="2474"/>
      </w:tblGrid>
      <w:tr w14:paraId="31197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E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F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 w14:paraId="650BA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0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</w:p>
          <w:p w14:paraId="E2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</w:p>
          <w:p w14:paraId="E3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</w:p>
          <w:p w14:paraId="E4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5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Отлично</w:t>
            </w:r>
          </w:p>
        </w:tc>
      </w:tr>
      <w:tr w14:paraId="4C017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6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</w:p>
          <w:p w14:paraId="E8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</w:p>
          <w:p w14:paraId="E9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14:paraId="EA01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 области.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B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</w:p>
        </w:tc>
      </w:tr>
      <w:tr w14:paraId="5A20D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C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названы и определены лишь некоторые основания, признаки, характеристики  рассматриваемой проблемы;</w:t>
            </w:r>
          </w:p>
          <w:p w14:paraId="EE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</w:p>
          <w:p w14:paraId="EF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</w:p>
          <w:p w14:paraId="F001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 данной области.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1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Удовлетворительно</w:t>
            </w:r>
          </w:p>
        </w:tc>
      </w:tr>
      <w:tr w14:paraId="3B9B2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301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</w:p>
          <w:p w14:paraId="F401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5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Неудовлетворительно</w:t>
            </w:r>
          </w:p>
        </w:tc>
      </w:tr>
    </w:tbl>
    <w:p w14:paraId="F6010000">
      <w:pPr>
        <w:pStyle w:val="61"/>
        <w:tabs>
          <w:tab w:val="left" w:pos="1418"/>
          <w:tab w:val="left" w:pos="1560"/>
        </w:tabs>
        <w:spacing w:before="120" w:after="120" w:line="240" w:lineRule="auto"/>
        <w:ind w:left="726" w:firstLine="0"/>
        <w:outlineLvl w:val="0"/>
        <w:rPr>
          <w:rFonts w:ascii="Times New Roman" w:hAnsi="Times New Roman"/>
          <w:b/>
          <w:sz w:val="24"/>
        </w:rPr>
      </w:pPr>
    </w:p>
    <w:p w14:paraId="F7010000">
      <w:pPr>
        <w:pStyle w:val="61"/>
        <w:numPr>
          <w:ilvl w:val="0"/>
          <w:numId w:val="1"/>
        </w:numPr>
        <w:tabs>
          <w:tab w:val="left" w:pos="1134"/>
          <w:tab w:val="left" w:pos="1560"/>
        </w:tabs>
        <w:spacing w:before="120" w:after="120" w:line="240" w:lineRule="auto"/>
        <w:ind w:left="0" w:firstLine="726"/>
        <w:jc w:val="center"/>
        <w:outlineLvl w:val="0"/>
        <w:rPr>
          <w:rFonts w:ascii="Times New Roman" w:hAnsi="Times New Roman"/>
          <w:b/>
          <w:sz w:val="24"/>
        </w:rPr>
      </w:pPr>
      <w:bookmarkStart w:id="11" w:name="_Toc13065"/>
      <w:r>
        <w:rPr>
          <w:rFonts w:ascii="Times New Roman" w:hAnsi="Times New Roman"/>
          <w:b/>
          <w:sz w:val="24"/>
        </w:rPr>
        <w:t>Методические материалы, определяющие процедуры оценивания</w:t>
      </w:r>
      <w:bookmarkEnd w:id="11"/>
    </w:p>
    <w:p w14:paraId="71938781">
      <w:pPr>
        <w:pStyle w:val="42"/>
        <w:widowControl/>
        <w:spacing w:line="240" w:lineRule="auto"/>
        <w:ind w:left="0" w:firstLine="706"/>
      </w:pPr>
      <w:r>
        <w:rPr>
          <w:rStyle w:val="39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уменяи и навыков</w:t>
      </w:r>
      <w:r>
        <w:rPr>
          <w:rStyle w:val="39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4A81501C">
      <w:pPr>
        <w:pStyle w:val="42"/>
        <w:widowControl/>
        <w:spacing w:line="240" w:lineRule="auto"/>
        <w:ind w:left="0" w:firstLine="706"/>
      </w:pPr>
      <w:r>
        <w:rPr>
          <w:rStyle w:val="39"/>
          <w:sz w:val="24"/>
        </w:rPr>
        <w:t xml:space="preserve">Комплект оценочных средств хранится </w:t>
      </w:r>
      <w:r>
        <w:t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</w:t>
      </w:r>
    </w:p>
    <w:p w14:paraId="FA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b/>
          <w:sz w:val="24"/>
        </w:rPr>
        <w:t>Порядок проведения текущего контроля</w:t>
      </w:r>
      <w:r>
        <w:rPr>
          <w:rStyle w:val="39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FB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b/>
          <w:sz w:val="24"/>
        </w:rPr>
        <w:t>Текущий контроль</w:t>
      </w:r>
      <w:r>
        <w:rPr>
          <w:rStyle w:val="39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FC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FD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FE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FF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При аттестации обучающихся учитываются следующие факторы:</w:t>
      </w:r>
    </w:p>
    <w:p w14:paraId="00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39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01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02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работ;</w:t>
      </w:r>
    </w:p>
    <w:p w14:paraId="03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04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05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0602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0702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12" w:name="_Hlk66277378"/>
      <w:r>
        <w:rPr>
          <w:rFonts w:ascii="Times New Roman" w:hAnsi="Times New Roman"/>
          <w:sz w:val="24"/>
        </w:rPr>
        <w:t>Рубежный контроль является формой оценивания результатов обучения в виде умений и навыков.</w:t>
      </w:r>
      <w:bookmarkEnd w:id="12"/>
    </w:p>
    <w:p w14:paraId="0802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Условием допуска к сдаче кандидатского экзамена является реферат- письменная работа аспиранта (соискателя), написанная в соответствии с его научной специализацией. Рефераты визируются преподавателем дисциплины и у научного руководителя аспиранта.</w:t>
      </w:r>
    </w:p>
    <w:p w14:paraId="0902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Рефераты обычно представляются на заключительном этапе изучения дисциплины, как результат итоговой самостоятельной работы аспиранта. Защита реферата осуществляется на семинарских занятиях, предусмотренных учебным планом. Время защиты - 5-7 минут. 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0A02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b/>
          <w:sz w:val="24"/>
        </w:rPr>
        <w:t>Промежуточная аттестация</w:t>
      </w:r>
      <w:r>
        <w:rPr>
          <w:rStyle w:val="39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0B02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подготовки к экзамену по дисциплине «История и философия науки» аспирант (соискатель) представляет реферат по истории той отрасли науки, по которой он проходит обучение в аспирантуре. </w:t>
      </w:r>
    </w:p>
    <w:p w14:paraId="0C02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0D020000">
      <w:pPr>
        <w:pStyle w:val="61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13" w:name="_Toc19348"/>
      <w:r>
        <w:rPr>
          <w:rFonts w:ascii="Times New Roman" w:hAnsi="Times New Roman"/>
          <w:b/>
          <w:sz w:val="24"/>
        </w:rPr>
        <w:t>Особенности освоения дисциплины для инвалидов и лиц с ограниченными возможностями</w:t>
      </w:r>
      <w:bookmarkEnd w:id="13"/>
    </w:p>
    <w:p w14:paraId="0E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0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1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11020000">
      <w:pPr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1202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8"/>
        <w:tblW w:w="0" w:type="auto"/>
        <w:tblInd w:w="108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87"/>
        <w:gridCol w:w="1955"/>
        <w:gridCol w:w="5814"/>
      </w:tblGrid>
      <w:tr w14:paraId="374F739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3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5BD137F6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1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1B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1C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1D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02FA1ECE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34BEF27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1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CC6BC97"/>
        </w:tc>
      </w:tr>
      <w:tr w14:paraId="0AE8822F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2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4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2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2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2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2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374419FC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4577C373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2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A645EA"/>
        </w:tc>
      </w:tr>
      <w:tr w14:paraId="319402D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0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визуально-кинестетические;</w:t>
            </w:r>
          </w:p>
          <w:p w14:paraId="31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аудио-визуальные;</w:t>
            </w:r>
          </w:p>
          <w:p w14:paraId="32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аудиально-кинестетические;</w:t>
            </w:r>
          </w:p>
          <w:p w14:paraId="3302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</w:p>
        </w:tc>
      </w:tr>
    </w:tbl>
    <w:p w14:paraId="34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35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36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Условные обозначения:</w:t>
      </w:r>
    </w:p>
    <w:p w14:paraId="37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«+» —</w:t>
      </w:r>
      <w:r>
        <w:rPr>
          <w:rFonts w:ascii="Times New Roman" w:hAnsi="Times New Roman"/>
          <w:color w:val="000000"/>
          <w:sz w:val="24"/>
        </w:rPr>
        <w:t>образовательный ресурс, не требующий адаптации;</w:t>
      </w:r>
    </w:p>
    <w:p w14:paraId="38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39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«АЭ»— альтернативный эквивалент используемого ресурса</w:t>
      </w:r>
    </w:p>
    <w:tbl>
      <w:tblPr>
        <w:tblStyle w:val="8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 w14:paraId="70A52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</w:p>
          <w:p w14:paraId="3B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</w:p>
          <w:p w14:paraId="3C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нозологиям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 ресурсы</w:t>
            </w:r>
          </w:p>
        </w:tc>
      </w:tr>
      <w:tr w14:paraId="3E98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90B362"/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Печатные</w:t>
            </w:r>
          </w:p>
        </w:tc>
      </w:tr>
      <w:tr w14:paraId="4742A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229382"/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мультимедиа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графические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</w:p>
          <w:p w14:paraId="4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</w:p>
          <w:p w14:paraId="4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115060"/>
        </w:tc>
      </w:tr>
      <w:tr w14:paraId="7176E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4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зрения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4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50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>шрифтом</w:t>
            </w:r>
          </w:p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Л.Брайля)</w:t>
            </w:r>
          </w:p>
        </w:tc>
      </w:tr>
      <w:tr w14:paraId="19887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7F3CC8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</w:tr>
      <w:tr w14:paraId="7D678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5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слуха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5E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текстовое описание, гипер-</w:t>
            </w:r>
          </w:p>
          <w:p w14:paraId="5F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ссылки)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6F83B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E83A3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6C59D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нарушениями опорно-</w:t>
            </w:r>
          </w:p>
          <w:p w14:paraId="6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двигательного аппарата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</w:tbl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bookmarkStart w:id="14" w:name="_Hlk504003203"/>
    </w:p>
    <w:p w14:paraId="7002000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8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6BAF2A74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549201E0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4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7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6020000">
            <w:pPr>
              <w:widowControl w:val="0"/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77020000">
            <w:pPr>
              <w:widowControl w:val="0"/>
              <w:numPr>
                <w:ilvl w:val="0"/>
                <w:numId w:val="12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 w14:paraId="45B1473E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9020000">
            <w:pPr>
              <w:widowControl w:val="0"/>
              <w:numPr>
                <w:ilvl w:val="0"/>
                <w:numId w:val="13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7A020000">
            <w:pPr>
              <w:widowControl w:val="0"/>
              <w:numPr>
                <w:ilvl w:val="0"/>
                <w:numId w:val="13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316AE4C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7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7C02000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7D02000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</w:p>
          <w:p w14:paraId="7E02000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4"/>
          </w:p>
        </w:tc>
      </w:tr>
    </w:tbl>
    <w:p w14:paraId="7F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002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5" w:name="_Toc29921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>Задания для текущего контроля для инвалидов и лиц с ограниченными возможностями</w:t>
      </w:r>
      <w:bookmarkEnd w:id="15"/>
    </w:p>
    <w:p w14:paraId="81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2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83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84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502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6" w:name="_Toc28634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>Задания для промежуточной аттестации для инвалидов и лиц с ограниченными возможностями</w:t>
      </w:r>
      <w:bookmarkEnd w:id="16"/>
    </w:p>
    <w:p w14:paraId="86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7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88020000">
      <w:pPr>
        <w:spacing w:after="0" w:line="240" w:lineRule="auto"/>
        <w:ind w:left="0" w:firstLine="709"/>
        <w:jc w:val="both"/>
        <w:rPr>
          <w:rStyle w:val="39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7EBD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24"/>
      <w:jc w:val="right"/>
    </w:pPr>
  </w:p>
  <w:p w14:paraId="02000000"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2"/>
      <w:numFmt w:val="decimal"/>
      <w:lvlText w:val="%1.%2."/>
      <w:lvlJc w:val="left"/>
      <w:pPr>
        <w:ind w:left="720" w:hanging="360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6">
    <w:nsid w:val="0248C179"/>
    <w:multiLevelType w:val="multilevel"/>
    <w:tmpl w:val="0248C179"/>
    <w:lvl w:ilvl="0" w:tentative="0">
      <w:start w:val="0"/>
      <w:numFmt w:val="bullet"/>
      <w:lvlText w:val=""/>
      <w:lvlJc w:val="left"/>
      <w:pPr>
        <w:ind w:left="720" w:hanging="360"/>
      </w:pPr>
      <w:rPr>
        <w:rFonts w:ascii="Symbol" w:hAnsi="Symbol"/>
        <w:strike w:val="0"/>
        <w:color w:val="000000"/>
        <w:sz w:val="28"/>
        <w:u w:val="no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3"/>
      <w:numFmt w:val="decimal"/>
      <w:lvlText w:val="%1.%2."/>
      <w:lvlJc w:val="left"/>
      <w:pPr>
        <w:ind w:left="720" w:hanging="360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1431FAD"/>
    <w:rsid w:val="500A0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Ascii" w:hAnsiTheme="majorHAnsi"/>
      <w:b/>
      <w:color w:val="376092" w:themeColor="accent1" w:themeShade="BF"/>
      <w:sz w:val="28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76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qFormat/>
    <w:uiPriority w:val="0"/>
    <w:rPr>
      <w:vertAlign w:val="superscript"/>
    </w:rPr>
  </w:style>
  <w:style w:type="character" w:styleId="10">
    <w:name w:val="Hyperlink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2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14">
    <w:name w:val="toc 9"/>
    <w:next w:val="1"/>
    <w:qFormat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7"/>
    <w:next w:val="1"/>
    <w:qFormat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Body Text"/>
    <w:basedOn w:val="1"/>
    <w:qFormat/>
    <w:uiPriority w:val="0"/>
    <w:pPr>
      <w:spacing w:after="0" w:line="240" w:lineRule="auto"/>
      <w:ind w:left="0" w:firstLine="397"/>
      <w:jc w:val="center"/>
    </w:pPr>
    <w:rPr>
      <w:rFonts w:ascii="Times New Roman" w:hAnsi="Times New Roman"/>
      <w:sz w:val="28"/>
    </w:rPr>
  </w:style>
  <w:style w:type="paragraph" w:styleId="17">
    <w:name w:val="toc 1"/>
    <w:basedOn w:val="1"/>
    <w:next w:val="1"/>
    <w:qFormat/>
    <w:uiPriority w:val="39"/>
    <w:pPr>
      <w:spacing w:after="100"/>
    </w:pPr>
    <w:rPr>
      <w:rFonts w:ascii="Times New Roman" w:hAnsi="Times New Roman"/>
    </w:rPr>
  </w:style>
  <w:style w:type="paragraph" w:styleId="18">
    <w:name w:val="toc 6"/>
    <w:next w:val="1"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paragraph" w:styleId="20">
    <w:name w:val="toc 2"/>
    <w:basedOn w:val="1"/>
    <w:next w:val="1"/>
    <w:qFormat/>
    <w:uiPriority w:val="39"/>
    <w:pPr>
      <w:spacing w:after="100"/>
      <w:ind w:left="220" w:firstLine="0"/>
    </w:pPr>
    <w:rPr>
      <w:rFonts w:ascii="Times New Roman" w:hAnsi="Times New Roman"/>
    </w:rPr>
  </w:style>
  <w:style w:type="paragraph" w:styleId="21">
    <w:name w:val="toc 4"/>
    <w:next w:val="1"/>
    <w:qFormat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2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4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25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6">
    <w:name w:val="WW-Базовый"/>
    <w:link w:val="27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7">
    <w:name w:val="WW-Базовый1"/>
    <w:link w:val="26"/>
    <w:qFormat/>
    <w:uiPriority w:val="0"/>
    <w:rPr>
      <w:rFonts w:ascii="Times New Roman" w:hAnsi="Times New Roman"/>
      <w:color w:val="000000"/>
      <w:sz w:val="24"/>
    </w:rPr>
  </w:style>
  <w:style w:type="paragraph" w:customStyle="1" w:styleId="28">
    <w:name w:val="Style58"/>
    <w:basedOn w:val="1"/>
    <w:link w:val="29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29">
    <w:name w:val="Style581"/>
    <w:link w:val="28"/>
    <w:qFormat/>
    <w:uiPriority w:val="0"/>
    <w:rPr>
      <w:rFonts w:ascii="Times New Roman" w:hAnsi="Times New Roman"/>
      <w:sz w:val="24"/>
    </w:rPr>
  </w:style>
  <w:style w:type="paragraph" w:customStyle="1" w:styleId="30">
    <w:name w:val="Заголовок №72"/>
    <w:link w:val="31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31">
    <w:name w:val="Заголовок №721"/>
    <w:link w:val="30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32">
    <w:name w:val="Endnote"/>
    <w:link w:val="33"/>
    <w:qFormat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3">
    <w:name w:val="Endnote1"/>
    <w:link w:val="32"/>
    <w:qFormat/>
    <w:uiPriority w:val="0"/>
    <w:rPr>
      <w:rFonts w:ascii="XO Thames" w:hAnsi="XO Thames"/>
      <w:sz w:val="22"/>
    </w:rPr>
  </w:style>
  <w:style w:type="paragraph" w:customStyle="1" w:styleId="34">
    <w:name w:val="Основной текст (39)"/>
    <w:link w:val="35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customStyle="1" w:styleId="35">
    <w:name w:val="Основной текст (39)12"/>
    <w:link w:val="34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36">
    <w:name w:val="Font Style30"/>
    <w:link w:val="37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37">
    <w:name w:val="Font Style301"/>
    <w:link w:val="36"/>
    <w:qFormat/>
    <w:uiPriority w:val="0"/>
    <w:rPr>
      <w:rFonts w:ascii="Times New Roman" w:hAnsi="Times New Roman"/>
      <w:b/>
      <w:sz w:val="26"/>
    </w:rPr>
  </w:style>
  <w:style w:type="paragraph" w:customStyle="1" w:styleId="38">
    <w:name w:val="Font Style76"/>
    <w:link w:val="39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39">
    <w:name w:val="Font Style761"/>
    <w:link w:val="38"/>
    <w:qFormat/>
    <w:uiPriority w:val="0"/>
    <w:rPr>
      <w:rFonts w:ascii="Times New Roman" w:hAnsi="Times New Roman"/>
      <w:sz w:val="26"/>
    </w:rPr>
  </w:style>
  <w:style w:type="paragraph" w:customStyle="1" w:styleId="40">
    <w:name w:val="Font Style13"/>
    <w:link w:val="41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41">
    <w:name w:val="Font Style131"/>
    <w:link w:val="40"/>
    <w:qFormat/>
    <w:uiPriority w:val="0"/>
    <w:rPr>
      <w:rFonts w:ascii="Times New Roman" w:hAnsi="Times New Roman"/>
      <w:sz w:val="26"/>
    </w:rPr>
  </w:style>
  <w:style w:type="paragraph" w:customStyle="1" w:styleId="42">
    <w:name w:val="Style5"/>
    <w:basedOn w:val="1"/>
    <w:link w:val="43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3">
    <w:name w:val="Style51"/>
    <w:link w:val="42"/>
    <w:qFormat/>
    <w:uiPriority w:val="0"/>
    <w:rPr>
      <w:rFonts w:ascii="Times New Roman" w:hAnsi="Times New Roman"/>
      <w:sz w:val="24"/>
    </w:rPr>
  </w:style>
  <w:style w:type="paragraph" w:customStyle="1" w:styleId="44">
    <w:name w:val="Заголовок №74"/>
    <w:link w:val="45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45">
    <w:name w:val="Заголовок №741"/>
    <w:link w:val="44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46">
    <w:name w:val="Footnote"/>
    <w:basedOn w:val="1"/>
    <w:link w:val="47"/>
    <w:qFormat/>
    <w:uiPriority w:val="0"/>
    <w:pPr>
      <w:spacing w:after="0" w:line="240" w:lineRule="auto"/>
    </w:pPr>
    <w:rPr>
      <w:rFonts w:ascii="Calibri" w:hAnsi="Calibri"/>
      <w:sz w:val="20"/>
    </w:rPr>
  </w:style>
  <w:style w:type="character" w:customStyle="1" w:styleId="47">
    <w:name w:val="Footnote1"/>
    <w:link w:val="46"/>
    <w:qFormat/>
    <w:uiPriority w:val="0"/>
    <w:rPr>
      <w:rFonts w:ascii="Calibri" w:hAnsi="Calibri"/>
      <w:sz w:val="20"/>
    </w:rPr>
  </w:style>
  <w:style w:type="paragraph" w:customStyle="1" w:styleId="48">
    <w:name w:val="Header and Footer"/>
    <w:link w:val="49"/>
    <w:qFormat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49">
    <w:name w:val="Header and Footer1"/>
    <w:link w:val="48"/>
    <w:qFormat/>
    <w:uiPriority w:val="0"/>
    <w:rPr>
      <w:rFonts w:ascii="XO Thames" w:hAnsi="XO Thames"/>
      <w:sz w:val="20"/>
    </w:rPr>
  </w:style>
  <w:style w:type="paragraph" w:customStyle="1" w:styleId="50">
    <w:name w:val="Основной текст (39)11"/>
    <w:basedOn w:val="1"/>
    <w:link w:val="51"/>
    <w:qFormat/>
    <w:uiPriority w:val="0"/>
    <w:pPr>
      <w:spacing w:after="60" w:line="240" w:lineRule="atLeast"/>
      <w:jc w:val="both"/>
    </w:pPr>
    <w:rPr>
      <w:rFonts w:ascii="Times New Roman" w:hAnsi="Times New Roman"/>
      <w:i/>
    </w:rPr>
  </w:style>
  <w:style w:type="character" w:customStyle="1" w:styleId="51">
    <w:name w:val="Основной текст (39)1"/>
    <w:link w:val="50"/>
    <w:qFormat/>
    <w:uiPriority w:val="0"/>
    <w:rPr>
      <w:rFonts w:ascii="Times New Roman" w:hAnsi="Times New Roman"/>
      <w:i/>
    </w:rPr>
  </w:style>
  <w:style w:type="paragraph" w:customStyle="1" w:styleId="52">
    <w:name w:val="TOC Heading"/>
    <w:basedOn w:val="2"/>
    <w:next w:val="1"/>
    <w:link w:val="53"/>
    <w:qFormat/>
    <w:uiPriority w:val="0"/>
    <w:pPr>
      <w:outlineLvl w:val="8"/>
    </w:pPr>
  </w:style>
  <w:style w:type="character" w:customStyle="1" w:styleId="53">
    <w:name w:val="TOC Heading1"/>
    <w:link w:val="52"/>
    <w:qFormat/>
    <w:uiPriority w:val="0"/>
  </w:style>
  <w:style w:type="paragraph" w:customStyle="1" w:styleId="54">
    <w:name w:val="Основной текст (5)"/>
    <w:basedOn w:val="1"/>
    <w:link w:val="55"/>
    <w:qFormat/>
    <w:uiPriority w:val="0"/>
    <w:pPr>
      <w:spacing w:after="0" w:line="240" w:lineRule="atLeast"/>
    </w:pPr>
    <w:rPr>
      <w:rFonts w:ascii="Times New Roman" w:hAnsi="Times New Roman"/>
    </w:rPr>
  </w:style>
  <w:style w:type="character" w:customStyle="1" w:styleId="55">
    <w:name w:val="Основной текст (5)1"/>
    <w:link w:val="54"/>
    <w:qFormat/>
    <w:uiPriority w:val="0"/>
    <w:rPr>
      <w:rFonts w:ascii="Times New Roman" w:hAnsi="Times New Roman"/>
    </w:rPr>
  </w:style>
  <w:style w:type="paragraph" w:customStyle="1" w:styleId="56">
    <w:name w:val="Default"/>
    <w:link w:val="5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57">
    <w:name w:val="Default1"/>
    <w:link w:val="56"/>
    <w:qFormat/>
    <w:uiPriority w:val="0"/>
    <w:rPr>
      <w:rFonts w:ascii="Times New Roman" w:hAnsi="Times New Roman"/>
      <w:color w:val="000000"/>
      <w:sz w:val="24"/>
    </w:rPr>
  </w:style>
  <w:style w:type="paragraph" w:customStyle="1" w:styleId="58">
    <w:name w:val="Основной текст (18) + Не курсив"/>
    <w:link w:val="59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customStyle="1" w:styleId="59">
    <w:name w:val="Основной текст (18) + Не курсив1"/>
    <w:link w:val="58"/>
    <w:qFormat/>
    <w:uiPriority w:val="0"/>
    <w:rPr>
      <w:rFonts w:ascii="Times New Roman" w:hAnsi="Times New Roman"/>
      <w:highlight w:val="white"/>
    </w:rPr>
  </w:style>
  <w:style w:type="paragraph" w:styleId="60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61">
    <w:name w:val="List Paragraph"/>
    <w:basedOn w:val="1"/>
    <w:qFormat/>
    <w:uiPriority w:val="0"/>
    <w:pPr>
      <w:ind w:left="720" w:firstLine="0"/>
      <w:contextualSpacing/>
    </w:pPr>
    <w:rPr>
      <w:rFonts w:ascii="Calibri" w:hAnsi="Calibri"/>
    </w:rPr>
  </w:style>
  <w:style w:type="paragraph" w:customStyle="1" w:styleId="62">
    <w:name w:val="Style8"/>
    <w:basedOn w:val="1"/>
    <w:link w:val="63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63">
    <w:name w:val="Style81"/>
    <w:link w:val="62"/>
    <w:qFormat/>
    <w:uiPriority w:val="0"/>
    <w:rPr>
      <w:rFonts w:ascii="Times New Roman" w:hAnsi="Times New Roman"/>
      <w:sz w:val="24"/>
    </w:rPr>
  </w:style>
  <w:style w:type="paragraph" w:customStyle="1" w:styleId="64">
    <w:name w:val="Заголовок №71"/>
    <w:basedOn w:val="1"/>
    <w:link w:val="65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5">
    <w:name w:val="Заголовок №711"/>
    <w:link w:val="64"/>
    <w:qFormat/>
    <w:uiPriority w:val="0"/>
    <w:rPr>
      <w:rFonts w:ascii="Times New Roman" w:hAnsi="Times New Roman"/>
      <w:b/>
      <w:sz w:val="27"/>
    </w:rPr>
  </w:style>
  <w:style w:type="paragraph" w:customStyle="1" w:styleId="66">
    <w:name w:val="Основной текст (18)"/>
    <w:basedOn w:val="1"/>
    <w:link w:val="67"/>
    <w:qFormat/>
    <w:uiPriority w:val="0"/>
    <w:pPr>
      <w:spacing w:after="0" w:line="259" w:lineRule="exact"/>
      <w:jc w:val="center"/>
    </w:pPr>
    <w:rPr>
      <w:rFonts w:ascii="Times New Roman" w:hAnsi="Times New Roman"/>
      <w:i/>
    </w:rPr>
  </w:style>
  <w:style w:type="character" w:customStyle="1" w:styleId="67">
    <w:name w:val="Основной текст (18)1"/>
    <w:link w:val="66"/>
    <w:qFormat/>
    <w:uiPriority w:val="0"/>
    <w:rPr>
      <w:rFonts w:ascii="Times New Roman" w:hAns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2025-07-29T18:14:00Z</dcterms:created>
  <dc:creator>mariy</dc:creator>
  <cp:lastModifiedBy>mariy</cp:lastModifiedBy>
  <dcterms:modified xsi:type="dcterms:W3CDTF">2025-07-31T12:37:15Z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BF15C6DF348A4CD7B94E64D9C179B8A0_12</vt:lpwstr>
  </property>
</Properties>
</file>