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6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B1D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</w:tcPr>
          <w:p w14:paraId="04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5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6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F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 И ФИЛОСОФИЯ НАУКИ</w:t>
      </w:r>
    </w:p>
    <w:p w14:paraId="10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1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8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66CE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12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5000000">
            <w:pPr>
              <w:pStyle w:val="60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61BC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C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1F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1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3000000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24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BD6BCAE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41F766A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6A37F6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val="center" w:pos="4677"/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1000000">
      <w:pPr>
        <w:pStyle w:val="52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</w:p>
    <w:p w14:paraId="32000000">
      <w:pPr>
        <w:pStyle w:val="5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>
      <w:pPr>
        <w:rPr>
          <w:rFonts w:ascii="Times New Roman" w:hAnsi="Times New Roman"/>
        </w:rPr>
      </w:pPr>
    </w:p>
    <w:p w14:paraId="1D740EF0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E9E62F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33318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FB297D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7EF5D9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3F5995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9C9B0D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9762CBE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B40B372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FB7C973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93DD54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E97B4C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FCDE764">
      <w:r>
        <w:fldChar w:fldCharType="end"/>
      </w:r>
    </w:p>
    <w:p w14:paraId="41000000">
      <w:pPr>
        <w:widowControl w:val="0"/>
        <w:spacing w:after="0" w:line="240" w:lineRule="auto"/>
        <w:ind w:left="0" w:right="28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00000"/>
    <w:p w14:paraId="4300000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4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47000000">
      <w:pPr>
        <w:pStyle w:val="61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 «История и философия науки»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>езультаты освоения дисциплины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1"/>
      </w:tblGrid>
      <w:tr w14:paraId="514B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</w:tr>
      <w:tr w14:paraId="2C09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A51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критического анализа и оценки современных научных достижений, в том числе в междисциплинарных областях</w:t>
            </w:r>
          </w:p>
          <w:p w14:paraId="64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</w:t>
            </w:r>
          </w:p>
          <w:p w14:paraId="65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14:paraId="6FA1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14:paraId="69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использовать положения и категории философии науки для анализа и оценивания различных фактов и явлений</w:t>
            </w:r>
          </w:p>
          <w:p w14:paraId="6A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71C5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6E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следовать основным этическим нормам и правилам поведения в процессе профессиональной деятельности 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6F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</w:t>
            </w:r>
          </w:p>
        </w:tc>
      </w:tr>
      <w:tr w14:paraId="7C5C2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3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  <w:p w14:paraId="74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</w:tr>
    </w:tbl>
    <w:p w14:paraId="75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7600000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основоения дисциплины</w:t>
      </w:r>
      <w:r>
        <w:rPr>
          <w:rFonts w:ascii="Times New Roman" w:hAnsi="Times New Roman"/>
          <w:sz w:val="24"/>
        </w:rPr>
        <w:t>:</w:t>
      </w:r>
    </w:p>
    <w:p w14:paraId="7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 </w:t>
      </w:r>
    </w:p>
    <w:p w14:paraId="7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направления, проблемы, теории и методы философии, содержание современных философских дискуссий по проблемам общественного развития;</w:t>
      </w:r>
    </w:p>
    <w:p w14:paraId="7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7A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методы критического анализа и обобщения результатов научно- исследовательских работ; </w:t>
      </w:r>
    </w:p>
    <w:p w14:paraId="7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выделяет и систематизирует основные идеи в научных текстах; критически оценивает любую поступающую информацию, вне зависимости от источника; избегает автоматического применения стандартных формул и приемов при решении задач;</w:t>
      </w:r>
    </w:p>
    <w:p w14:paraId="7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формирует и аргументированно отстаивает собственную позицию по различным проблемам философии, использует положения и категории философии для оценивания и анализа различных социальных тенденций, фактов и явлений;</w:t>
      </w:r>
    </w:p>
    <w:p w14:paraId="7D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аргументировано отстаивает принимаемые решения; использует различные подходы для анализа и оценки последствий принимаемых решений;</w:t>
      </w:r>
    </w:p>
    <w:p w14:paraId="7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выявляет и формулирует проблемы собственного развития, исходя из этапов профессионального роста и требований рынка труда к специалисту; формулирует цели профессионального и личностного развития, оценивает свои возможности, реалистичность и адекватность намеченных способов и путей достижения планируемых целей;</w:t>
      </w:r>
    </w:p>
    <w:p w14:paraId="7F00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bookmarkStart w:id="2" w:name="_Hlk66359266"/>
      <w:r>
        <w:rPr>
          <w:rFonts w:ascii="Times New Roman" w:hAnsi="Times New Roman"/>
          <w:sz w:val="24"/>
        </w:rPr>
        <w:t xml:space="preserve">- владеет навыками сбора, обработки, анализа и систематизации информации по теме исследования, навыками выбора методов и средств решения задач; </w:t>
      </w:r>
      <w:bookmarkEnd w:id="2"/>
    </w:p>
    <w:p w14:paraId="8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владеет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зрения;</w:t>
      </w:r>
    </w:p>
    <w:p w14:paraId="8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</w:t>
      </w:r>
    </w:p>
    <w:p w14:paraId="82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владеет навыками обсуждения знакомой темы, создания простого связного текста по знакомым или интересующим его темам;</w:t>
      </w:r>
    </w:p>
    <w:p w14:paraId="83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84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8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6172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30"/>
        <w:gridCol w:w="1948"/>
        <w:gridCol w:w="1592"/>
        <w:gridCol w:w="1873"/>
      </w:tblGrid>
      <w:tr w14:paraId="7A59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pStyle w:val="54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8D000000">
            <w:pPr>
              <w:pStyle w:val="66"/>
              <w:spacing w:line="240" w:lineRule="auto"/>
              <w:contextualSpacing/>
              <w:rPr>
                <w:i w:val="0"/>
              </w:rPr>
            </w:pPr>
            <w:r>
              <w:rPr>
                <w:rStyle w:val="59"/>
                <w:i w:val="0"/>
              </w:rPr>
              <w:t>контроля успеваемости</w:t>
            </w:r>
          </w:p>
          <w:p w14:paraId="8E000000">
            <w:pPr>
              <w:pStyle w:val="54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pStyle w:val="54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54"/>
              <w:spacing w:line="240" w:lineRule="auto"/>
              <w:contextualSpacing/>
              <w:jc w:val="center"/>
            </w:pPr>
            <w:r>
              <w:rPr>
                <w:rStyle w:val="39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Форма проведения оценки</w:t>
            </w:r>
          </w:p>
          <w:p w14:paraId="92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3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Устная/</w:t>
            </w:r>
          </w:p>
          <w:p w14:paraId="94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письменная</w:t>
            </w:r>
          </w:p>
          <w:p w14:paraId="95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6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</w:tc>
      </w:tr>
      <w:tr w14:paraId="4A77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54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54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5</w:t>
            </w:r>
          </w:p>
        </w:tc>
      </w:tr>
      <w:tr w14:paraId="798E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C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Наука в системе современной философии и культуры</w:t>
            </w:r>
          </w:p>
        </w:tc>
      </w:tr>
      <w:tr w14:paraId="2562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39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CBD0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1.2. Наука в культуре современной цивилизации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39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7CFE4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Возникновение науки и основные этапы её исторического развития</w:t>
            </w:r>
          </w:p>
        </w:tc>
      </w:tr>
      <w:tr w14:paraId="28A5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pStyle w:val="62"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Генезис науки и основные этапы её исторического развития.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B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6841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2.2. Становление и развитие науки Нового времени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9F60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5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B454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Структура и динамика научного знания</w:t>
            </w:r>
          </w:p>
        </w:tc>
      </w:tr>
      <w:tr w14:paraId="03A98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3.1. Состав и структура оснований науки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Состав и структура оснований науки.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A03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3.2. Структура научного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Научное знание как сложная развивающаяся система.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0A895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3.3. Динамика науки как процесс порождения нового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Научная картина мира, её философские основания.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09AF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 Философско-методологические проблемы естественных и социогуманитарных наук</w:t>
            </w:r>
          </w:p>
        </w:tc>
      </w:tr>
      <w:tr w14:paraId="0A0A3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4.1. Философские проблемы естественнонаучного и социогуманитарного познания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Философские проблемы социально- гуманитарных наук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E2C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Философская антропология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F17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200000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Тема 4.3. Формы и методы научного познания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Методология социально-экономического познания.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5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653C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  <w:p w14:paraId="D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DD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DE00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5" w:name="_Toc25648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</w:p>
    <w:p w14:paraId="DF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0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E1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458D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14F6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858AB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2BCB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0462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468B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0FCA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C9D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F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1412BA7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03010000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4F60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4948B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6069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 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1301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515FCB0F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0C80A747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2A7BC62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1523B18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625FE91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2A7D47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CFC3F63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7A021B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1D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1802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555F817E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0C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93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D4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795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4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F7D9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EF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1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F5A7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C1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7F040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66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26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BE59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32979B1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0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31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103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C6A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78CE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5C65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1CC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3C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D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E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7" w:name="_Toc27930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7"/>
    </w:p>
    <w:p w14:paraId="3F010000">
      <w:pPr>
        <w:pStyle w:val="61"/>
        <w:numPr>
          <w:ilvl w:val="1"/>
          <w:numId w:val="1"/>
        </w:numPr>
        <w:spacing w:after="24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8" w:name="_Toc993"/>
      <w:r>
        <w:rPr>
          <w:rFonts w:ascii="Times New Roman" w:hAnsi="Times New Roman"/>
          <w:b/>
          <w:sz w:val="24"/>
        </w:rPr>
        <w:t>Задания для текущего контроля:</w:t>
      </w:r>
      <w:bookmarkEnd w:id="8"/>
    </w:p>
    <w:p w14:paraId="40010000">
      <w:pPr>
        <w:pStyle w:val="61"/>
        <w:spacing w:before="240" w:after="0" w:line="240" w:lineRule="auto"/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7175"/>
      </w:tblGrid>
      <w:tr w14:paraId="4504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10000">
            <w:pPr>
              <w:pStyle w:val="54"/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rStyle w:val="39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10000">
            <w:pPr>
              <w:pStyle w:val="54"/>
              <w:spacing w:line="240" w:lineRule="auto"/>
              <w:jc w:val="center"/>
              <w:rPr>
                <w:rStyle w:val="39"/>
                <w:color w:val="000000"/>
                <w:sz w:val="24"/>
              </w:rPr>
            </w:pPr>
          </w:p>
          <w:p w14:paraId="43010000">
            <w:pPr>
              <w:pStyle w:val="54"/>
              <w:spacing w:line="240" w:lineRule="auto"/>
              <w:jc w:val="center"/>
              <w:rPr>
                <w:rStyle w:val="39"/>
                <w:color w:val="000000"/>
                <w:sz w:val="24"/>
              </w:rPr>
            </w:pPr>
            <w:r>
              <w:rPr>
                <w:rStyle w:val="39"/>
                <w:color w:val="000000"/>
                <w:sz w:val="24"/>
              </w:rPr>
              <w:t>Содержание задания</w:t>
            </w:r>
          </w:p>
        </w:tc>
      </w:tr>
      <w:tr w14:paraId="57F40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10000">
            <w:pPr>
              <w:pStyle w:val="42"/>
              <w:widowControl/>
              <w:tabs>
                <w:tab w:val="left" w:leader="underscore" w:pos="7027"/>
              </w:tabs>
              <w:spacing w:line="240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rStyle w:val="39"/>
                <w:sz w:val="22"/>
              </w:rPr>
              <w:t>Темы докладов:</w:t>
            </w:r>
          </w:p>
          <w:p w14:paraId="46010000">
            <w:pPr>
              <w:pStyle w:val="62"/>
              <w:numPr>
                <w:ilvl w:val="0"/>
                <w:numId w:val="2"/>
              </w:numPr>
              <w:ind w:left="527" w:firstLine="0"/>
              <w:jc w:val="both"/>
              <w:rPr>
                <w:sz w:val="22"/>
              </w:rPr>
            </w:pPr>
            <w:r>
              <w:rPr>
                <w:sz w:val="22"/>
              </w:rPr>
              <w:t>Философия и наука: особенности взаимодействия.</w:t>
            </w:r>
          </w:p>
          <w:p w14:paraId="47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Роль науки в современном обществе.</w:t>
            </w:r>
          </w:p>
          <w:p w14:paraId="48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Наука и политическое сознание.</w:t>
            </w:r>
          </w:p>
          <w:p w14:paraId="49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Наука и искусство.</w:t>
            </w:r>
          </w:p>
          <w:p w14:paraId="4A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Этика науки.</w:t>
            </w:r>
          </w:p>
          <w:p w14:paraId="4B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Наука и религия: проблемы диалога.</w:t>
            </w:r>
          </w:p>
          <w:p w14:paraId="4C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Проблемы возникновения науки.</w:t>
            </w:r>
          </w:p>
          <w:p w14:paraId="4D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Наука в культуре Древнего Востока</w:t>
            </w:r>
          </w:p>
          <w:p w14:paraId="4E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Античная наука и её особенности.</w:t>
            </w:r>
          </w:p>
          <w:p w14:paraId="4F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Западноевропейская наука и её особенности.</w:t>
            </w:r>
          </w:p>
          <w:p w14:paraId="50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  <w:p w14:paraId="51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  <w:p w14:paraId="52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Философская антропология- основание синтеза современного научного знания о человеке</w:t>
            </w:r>
          </w:p>
          <w:p w14:paraId="53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Диалектическое единство человека со Вселенной.</w:t>
            </w:r>
          </w:p>
          <w:p w14:paraId="54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Русский космизм</w:t>
            </w:r>
          </w:p>
          <w:p w14:paraId="55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Перспективы развития человека. Глобальные проблемы техногенной цивилизации.</w:t>
            </w:r>
          </w:p>
        </w:tc>
      </w:tr>
      <w:tr w14:paraId="283C2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pStyle w:val="62"/>
              <w:ind w:left="167" w:firstLine="0"/>
              <w:rPr>
                <w:sz w:val="22"/>
              </w:rPr>
            </w:pPr>
            <w:r>
              <w:rPr>
                <w:sz w:val="22"/>
              </w:rPr>
              <w:t>3.1. Состав и структура оснований науки</w:t>
            </w:r>
          </w:p>
        </w:tc>
      </w:tr>
      <w:tr w14:paraId="451B1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E423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Базисные ценности научной деятельности, идеалы нормы научного исследования.</w:t>
            </w:r>
          </w:p>
        </w:tc>
      </w:tr>
      <w:tr w14:paraId="1EB74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F456C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Стиль научного мышления, его исторический характер и категориальный строй.</w:t>
            </w:r>
          </w:p>
        </w:tc>
      </w:tr>
      <w:tr w14:paraId="1AC9E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D58B3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Мировоззренческое содержание науки и его связь с философскими представлениями.</w:t>
            </w:r>
          </w:p>
        </w:tc>
      </w:tr>
      <w:tr w14:paraId="3D03B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4D61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Многообразие типов и форм научного знания.</w:t>
            </w:r>
          </w:p>
        </w:tc>
      </w:tr>
      <w:tr w14:paraId="483B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A96C6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Эмпирический и теоретический уровни: содержание и критерии их различения.</w:t>
            </w:r>
          </w:p>
        </w:tc>
      </w:tr>
      <w:tr w14:paraId="6E6C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1089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Философские предпосылки научных теорий.</w:t>
            </w:r>
          </w:p>
        </w:tc>
      </w:tr>
      <w:tr w14:paraId="4DB8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239FE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Понятие научной картины мира.</w:t>
            </w:r>
          </w:p>
        </w:tc>
      </w:tr>
      <w:tr w14:paraId="732EC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1037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Исторические формы научной картины мира.</w:t>
            </w:r>
          </w:p>
        </w:tc>
      </w:tr>
      <w:tr w14:paraId="4E4B6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E14AF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Функции научной картины мира: картина мира как онтология, форма систематизации знания</w:t>
            </w:r>
          </w:p>
        </w:tc>
      </w:tr>
      <w:tr w14:paraId="1805E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1F45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Понятие обоснования и доказательства. Исторический характер доказательства и его диалектическая природа.</w:t>
            </w:r>
          </w:p>
        </w:tc>
      </w:tr>
      <w:tr w14:paraId="0B2A5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F0990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Роль философских идей, принципов и методов в обосновании и развитии научного знания.</w:t>
            </w:r>
          </w:p>
        </w:tc>
      </w:tr>
      <w:tr w14:paraId="3DEF1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F448C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10000">
            <w:pPr>
              <w:pStyle w:val="28"/>
              <w:widowControl/>
              <w:ind w:left="57" w:firstLine="0"/>
              <w:rPr>
                <w:sz w:val="22"/>
              </w:rPr>
            </w:pPr>
            <w:r>
              <w:t>3.2. Научное знание как сложная развивающаяся система.</w:t>
            </w:r>
          </w:p>
        </w:tc>
      </w:tr>
      <w:tr w14:paraId="5F586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6F3C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Феномен веры. Чувства, разум и воля как основание веры</w:t>
            </w:r>
          </w:p>
        </w:tc>
      </w:tr>
      <w:tr w14:paraId="2DF6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F808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Вера и понимание. Знание и вера. Вера и истина.</w:t>
            </w:r>
          </w:p>
        </w:tc>
      </w:tr>
      <w:tr w14:paraId="2E1B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E9A71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Субъективная вера как основа познания и жизнедеятельности человека.</w:t>
            </w:r>
          </w:p>
        </w:tc>
      </w:tr>
      <w:tr w14:paraId="3B7D8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3CBB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Скрытый, латентный характер верований как ценностных и эмпирических представлений познающего субъекта.</w:t>
            </w:r>
          </w:p>
        </w:tc>
      </w:tr>
      <w:tr w14:paraId="7FCD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0E8A0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Философская и религиозная вера.</w:t>
            </w:r>
          </w:p>
        </w:tc>
      </w:tr>
      <w:tr w14:paraId="69B47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E71FA1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Сомнение как рефлексия над основаниями знания, личного и социального опыта. Диалектика веры  сомнения, их отношение к научной рациональности.</w:t>
            </w:r>
          </w:p>
        </w:tc>
      </w:tr>
      <w:tr w14:paraId="775E3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6EE1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Достоверность знания, его научно- рациональные основания. Способы повышения достоверности знания в социально- гуманитарных науках.</w:t>
            </w:r>
          </w:p>
        </w:tc>
      </w:tr>
      <w:tr w14:paraId="5680C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23A4D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История развития наук об обществе, культуре и человеке.</w:t>
            </w:r>
          </w:p>
        </w:tc>
      </w:tr>
      <w:tr w14:paraId="7C28E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9122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Специфика объекта и субъекта в социально- гуманитарном познании и её применении в педагогике.</w:t>
            </w:r>
          </w:p>
        </w:tc>
      </w:tr>
      <w:tr w14:paraId="6EB3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B416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Особенности социально- исторического детерминизма. Проблемы социальных законов и причинности, идеалов, норм и ценностей в социально- гуманитарных науках.</w:t>
            </w:r>
          </w:p>
        </w:tc>
      </w:tr>
      <w:tr w14:paraId="4A089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EE1729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Формы и методы социогуманитарного познания. Проблема истины и рациональности в гуманитарных науках и образовании.</w:t>
            </w:r>
          </w:p>
        </w:tc>
      </w:tr>
      <w:tr w14:paraId="1E22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C437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Направления и перспективы развития социально- гуманитарных наук в условиях модернизма, постмодернизма и глобализации.</w:t>
            </w:r>
          </w:p>
        </w:tc>
      </w:tr>
      <w:tr w14:paraId="122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427E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10000">
            <w:pPr>
              <w:pStyle w:val="62"/>
              <w:ind w:left="167" w:firstLine="0"/>
              <w:rPr>
                <w:sz w:val="22"/>
              </w:rPr>
            </w:pPr>
            <w:r>
              <w:t>3.3. Научная картина мира, её философские основания.</w:t>
            </w:r>
          </w:p>
        </w:tc>
      </w:tr>
      <w:tr w14:paraId="3D460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099C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Становление философии истории. Принцип историзма в европейской философии.</w:t>
            </w:r>
          </w:p>
        </w:tc>
      </w:tr>
      <w:tr w14:paraId="0094F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1286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Предмет философии истории и её соотношение с другими социогуманитарными дисциплинами. Философия истории как система: общие идеи, принципы и категории.</w:t>
            </w:r>
          </w:p>
        </w:tc>
      </w:tr>
      <w:tr w14:paraId="7358D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251EC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Онтология истории. Проблема социально- исторической реальности: сущность и существование, возможность и действительность, необходимость и случайность. Пространственно- временные характеристики истории.</w:t>
            </w:r>
          </w:p>
        </w:tc>
      </w:tr>
      <w:tr w14:paraId="485DA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A9EEA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Эпистемология истории. Историческая истина и её критерии. Понимание и переживание истории, проблема исторического предвидения.</w:t>
            </w:r>
          </w:p>
        </w:tc>
      </w:tr>
      <w:tr w14:paraId="5A214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2058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Проблема смысла, целей и механизмов социально- исторического развития: формационный и цивилизационный подходы. Социальный детерминизм и социально- исторический прогресс.</w:t>
            </w:r>
          </w:p>
        </w:tc>
      </w:tr>
      <w:tr w14:paraId="755D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971C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10000">
            <w:pPr>
              <w:pStyle w:val="28"/>
              <w:widowControl/>
              <w:ind w:left="243" w:firstLine="0"/>
            </w:pPr>
            <w:r>
              <w:rPr>
                <w:rStyle w:val="39"/>
                <w:sz w:val="24"/>
              </w:rPr>
              <w:t>4.1. Философские проблемы социально-гуманитарных наук.</w:t>
            </w:r>
          </w:p>
        </w:tc>
      </w:tr>
      <w:tr w14:paraId="2936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E4C1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Понятие методологии науки. Уровни и методы научного познания.</w:t>
            </w:r>
          </w:p>
        </w:tc>
      </w:tr>
      <w:tr w14:paraId="03680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A780E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Соотношение классической и современной методологии науки.</w:t>
            </w:r>
          </w:p>
        </w:tc>
      </w:tr>
      <w:tr w14:paraId="26A54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F4570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Специфика методологии социально- экономического познания.</w:t>
            </w:r>
          </w:p>
        </w:tc>
      </w:tr>
      <w:tr w14:paraId="5BD6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AE85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Диалектика субъективного и объективного факторов.</w:t>
            </w:r>
          </w:p>
        </w:tc>
      </w:tr>
      <w:tr w14:paraId="22A0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8C2C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10000">
            <w:pPr>
              <w:pStyle w:val="28"/>
              <w:widowControl/>
              <w:numPr>
                <w:ilvl w:val="1"/>
                <w:numId w:val="6"/>
              </w:numPr>
              <w:tabs>
                <w:tab w:val="left" w:pos="464"/>
              </w:tabs>
              <w:ind w:left="0" w:firstLine="39"/>
            </w:pPr>
            <w:r>
              <w:rPr>
                <w:rStyle w:val="39"/>
                <w:sz w:val="24"/>
              </w:rPr>
              <w:t xml:space="preserve"> Методология социально-экономического познания</w:t>
            </w:r>
          </w:p>
        </w:tc>
      </w:tr>
      <w:tr w14:paraId="5CC8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D9ED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Предмет и метод философии хозяйства.</w:t>
            </w:r>
          </w:p>
        </w:tc>
      </w:tr>
      <w:tr w14:paraId="6CEAB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4B2F8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Проблема экономической определенности человека в философских концепциях.</w:t>
            </w:r>
          </w:p>
        </w:tc>
      </w:tr>
      <w:tr w14:paraId="1DB16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B402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Человек, природа и труд.</w:t>
            </w:r>
          </w:p>
        </w:tc>
      </w:tr>
      <w:tr w14:paraId="49874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03889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Философские аспекты экономической теории.</w:t>
            </w:r>
          </w:p>
        </w:tc>
      </w:tr>
    </w:tbl>
    <w:p w14:paraId="80010000">
      <w:pPr>
        <w:pStyle w:val="61"/>
        <w:spacing w:after="0" w:line="240" w:lineRule="auto"/>
        <w:ind w:left="0" w:firstLine="0"/>
        <w:rPr>
          <w:rFonts w:ascii="Times New Roman" w:hAnsi="Times New Roman"/>
          <w:i/>
          <w:sz w:val="24"/>
        </w:rPr>
      </w:pPr>
    </w:p>
    <w:p w14:paraId="81010000">
      <w:pPr>
        <w:pStyle w:val="61"/>
        <w:numPr>
          <w:ilvl w:val="1"/>
          <w:numId w:val="1"/>
        </w:numPr>
        <w:spacing w:after="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9" w:name="_Toc1594"/>
      <w:r>
        <w:rPr>
          <w:rFonts w:ascii="Times New Roman" w:hAnsi="Times New Roman"/>
          <w:b/>
          <w:sz w:val="24"/>
        </w:rPr>
        <w:t>Контрольные точки</w:t>
      </w:r>
      <w:bookmarkEnd w:id="9"/>
      <w:r>
        <w:rPr>
          <w:rFonts w:ascii="Times New Roman" w:hAnsi="Times New Roman"/>
          <w:b/>
          <w:sz w:val="24"/>
        </w:rPr>
        <w:t xml:space="preserve"> </w:t>
      </w:r>
    </w:p>
    <w:p w14:paraId="82010000">
      <w:pPr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83010000">
      <w:pPr>
        <w:pStyle w:val="61"/>
        <w:numPr>
          <w:ilvl w:val="0"/>
          <w:numId w:val="8"/>
        </w:numPr>
        <w:spacing w:after="0" w:line="24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ПРЕЗЕНТАЦИЯ РЕФЕРАТА ПО ВЫБРАННОЙ ТЕМЕ.</w:t>
      </w:r>
    </w:p>
    <w:p w14:paraId="84010000">
      <w:pPr>
        <w:pStyle w:val="56"/>
        <w:ind w:left="0" w:firstLine="709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Презентация не должна существовать «сама по себе», она лишь дополняет реферат. Поэтому без текста готового реферата нет смысла приступать к ее созданию.</w:t>
      </w:r>
    </w:p>
    <w:p w14:paraId="85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86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Алгоритм создания презентации:</w:t>
      </w:r>
    </w:p>
    <w:p w14:paraId="87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Составление плана презентации </w:t>
      </w:r>
    </w:p>
    <w:p w14:paraId="88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титульный слайд;</w:t>
      </w:r>
    </w:p>
    <w:p w14:paraId="89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содержание;</w:t>
      </w:r>
    </w:p>
    <w:p w14:paraId="8A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актуальность темы;</w:t>
      </w:r>
    </w:p>
    <w:p w14:paraId="8B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цель и задачи, выделенные в реферате;</w:t>
      </w:r>
    </w:p>
    <w:p w14:paraId="8C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основные тезисы реферата, иллюстрированные картинками, схемами, видео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;</w:t>
      </w:r>
    </w:p>
    <w:p w14:paraId="8D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выводы, заключение;</w:t>
      </w:r>
    </w:p>
    <w:p w14:paraId="8E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список использованных источников.</w:t>
      </w:r>
    </w:p>
    <w:p w14:paraId="8F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90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Создание и наполнение презентации</w:t>
      </w:r>
    </w:p>
    <w:p w14:paraId="91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1. Титульный слайд, на котором нужно указать название образовательного учреждения, тему, автора (ФИО обучающегося, курс, группа), руководителя работы или преподавателя (ФИО, ученую степень и должность), город, год. Все эти данные берем из титульного листа реферата.</w:t>
      </w:r>
    </w:p>
    <w:p w14:paraId="92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2. Содержание. Для удобства использования презентации, можно снабдить этот слайд навигацией с гиперссылками.</w:t>
      </w:r>
    </w:p>
    <w:p w14:paraId="93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3. Актуальность темы. Ее берем из реферата, но текста не должно быть много. Лучше разбить информацию на блоки и вставить иллюстрацию, оказывающую эмоциональное воздействие на аудиторию и имеющую прямое отношение к теме.</w:t>
      </w:r>
    </w:p>
    <w:p w14:paraId="94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4. Цель и задачи. Нужно обратить внимание: цель обычно одна и она глобальна. Задач может быть несколько, они конкретизируют поставленную цель.</w:t>
      </w:r>
    </w:p>
    <w:p w14:paraId="95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Слайды 5-10. Раскрытие темы. Здесь должны быть очень кратко представлены основные разделы реферата. Аудитория не будет читать текст на слайде. Можно привести несколько определений ключевых понятий, а остальную информацию представить графически, т.е. необходимо следовать принципу наглядности.</w:t>
      </w:r>
    </w:p>
    <w:p w14:paraId="96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11. Выводы. Копируем их из реферата. </w:t>
      </w:r>
    </w:p>
    <w:p w14:paraId="97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12. Заключение. Текст заключения так же копируем из реферата. Его следует озвучить, так создастся впечатление завершенности выступления.</w:t>
      </w:r>
    </w:p>
    <w:p w14:paraId="98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13. Список литературы и онлайн ресурсов. Берем готовый список из реферата.</w:t>
      </w:r>
    </w:p>
    <w:p w14:paraId="99010000">
      <w:pPr>
        <w:pStyle w:val="6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Для реферата объемом 20-25 стр. объем презентации обычно около 10-15 слайдов.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9A010000">
      <w:pPr>
        <w:pStyle w:val="61"/>
        <w:spacing w:after="0" w:line="240" w:lineRule="auto"/>
        <w:ind w:left="0" w:firstLine="72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Стандартное время на выступление с презентацией к реферату обычно составляет 5-7 минут.</w:t>
      </w:r>
    </w:p>
    <w:p w14:paraId="9B010000">
      <w:pPr>
        <w:pStyle w:val="61"/>
        <w:spacing w:after="0" w:line="240" w:lineRule="auto"/>
        <w:rPr>
          <w:rFonts w:ascii="Times New Roman" w:hAnsi="Times New Roman"/>
          <w:color w:val="222222"/>
          <w:sz w:val="24"/>
        </w:rPr>
      </w:pPr>
    </w:p>
    <w:p w14:paraId="9C010000">
      <w:pPr>
        <w:pStyle w:val="6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РЕФЕРАТА ПО ВЫБРАННОЙ ТЕМЕ.</w:t>
      </w:r>
    </w:p>
    <w:p w14:paraId="9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по дисциплине «История и философия науки» является письменной, самостоятельной творческой работой, обязательной для аспирантов (соискателей), готовящихся к сдаче экзамена по курсу «История и философия науки».</w:t>
      </w:r>
    </w:p>
    <w:p w14:paraId="9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9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A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оформляется в соответствии с требованиями к оформлению письменных работ обучающимися и представляется в электронном и распечатанном виде.</w:t>
      </w:r>
    </w:p>
    <w:p w14:paraId="A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 реферата выбирается аспирантом (соискателем) и окончательно формулируется вместе со своим научным руководителем и с преподавателем, ведущим практические занятия по дисциплине «Истории и философии науки».</w:t>
      </w:r>
    </w:p>
    <w:p w14:paraId="A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должен отвечать двум требованиям:</w:t>
      </w:r>
    </w:p>
    <w:p w14:paraId="A3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определяться сферой научных интересов аспиранта (соискателя);</w:t>
      </w:r>
    </w:p>
    <w:p w14:paraId="A4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соответствовать программе изучаемого курса.</w:t>
      </w:r>
    </w:p>
    <w:p w14:paraId="A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РЕФЕРАТА</w:t>
      </w:r>
    </w:p>
    <w:p w14:paraId="A6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Титульный лист.</w:t>
      </w:r>
    </w:p>
    <w:p w14:paraId="A7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Основной текст, состоящий из введения; основной части (2-3 главы, в каждой главе могут быть 2-3 параграфа); заключения (выводы, рекомендации).</w:t>
      </w:r>
    </w:p>
    <w:p w14:paraId="A8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Список использованной литературы.</w:t>
      </w:r>
    </w:p>
    <w:p w14:paraId="A9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Приложения (если имеются).</w:t>
      </w:r>
    </w:p>
    <w:p w14:paraId="A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ВЕДЕНИЕ - не более 2-2,5 страниц. Во введении должны получить отражение следующие вопросы:</w:t>
      </w:r>
    </w:p>
    <w:p w14:paraId="A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постановка проблемы;</w:t>
      </w:r>
    </w:p>
    <w:p w14:paraId="A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обоснование актуальности темы, новизны и практической значимости;</w:t>
      </w:r>
    </w:p>
    <w:p w14:paraId="A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объекта, предмета, цели и задачи реферата;</w:t>
      </w:r>
    </w:p>
    <w:p w14:paraId="A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круга рассматриваемых вопросов;</w:t>
      </w:r>
    </w:p>
    <w:p w14:paraId="A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краткая характеристика использованной литературы и методологии исследования.</w:t>
      </w:r>
    </w:p>
    <w:p w14:paraId="B0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- 2-3 самостоятельных пункта, логически связанных между собой, каждый из которых раскрывает основную проблему исследования.</w:t>
      </w:r>
    </w:p>
    <w:p w14:paraId="B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работы должна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</w:t>
      </w:r>
    </w:p>
    <w:p w14:paraId="B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Название глав не может повторять тему реферата. Каждая из них имеет свое название, выражающее существо рассматриваемого в ней вопроса.</w:t>
      </w:r>
    </w:p>
    <w:p w14:paraId="B3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 главами должны существовать логическая связь и содержательная преемственность, достигаемые правильным распределением теоретического и эмпирического материала.</w:t>
      </w:r>
    </w:p>
    <w:p w14:paraId="B4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цитаты, цифры, описания фактов должны сопровождаться ссылками на источники с указанием года издания книги, номера научного журнала и страницы, на которой опубликован цитируемый материал.</w:t>
      </w:r>
    </w:p>
    <w:p w14:paraId="B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ЗАКЛЮЧЕНИЕ - 3-3,5 страницы, содержащее обоснованный вывод, полученный автором реферативного исследования и указание перспективы дальнейших поисков в данной области.</w:t>
      </w:r>
    </w:p>
    <w:p w14:paraId="B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ИСПОЛЬЗОВАННОЙ ЛИТЕРАТУРЫ - не менее 5 и не более 30 позиций должен содержать:</w:t>
      </w:r>
    </w:p>
    <w:p w14:paraId="B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источники (авторские тексты крупных философов и ученых);</w:t>
      </w:r>
    </w:p>
    <w:p w14:paraId="B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комментаторские работы известных специалистов (монографии и статьи);</w:t>
      </w:r>
    </w:p>
    <w:p w14:paraId="B9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научные публикации последних 5 лет по указанной теме, включая диссертационные исследования;</w:t>
      </w:r>
    </w:p>
    <w:p w14:paraId="B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менее одной работы на иностранном языке;</w:t>
      </w:r>
    </w:p>
    <w:p w14:paraId="B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энциклопедий и словарей разрешается, если необходимо уточнить словарное употребление какого-либо термина;</w:t>
      </w:r>
    </w:p>
    <w:p w14:paraId="B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ссылки на электронный ресурс не должны превышать 1/3 общего объема; должна быть указана дата обращения.</w:t>
      </w:r>
    </w:p>
    <w:p w14:paraId="B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литературы оформляется в соответствии с требованиями ГОСТ 7.1- 2003 «Библиографическая запись. Библиографическое описание. Общие требования и правила составления»</w:t>
      </w:r>
    </w:p>
    <w:p w14:paraId="B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ПРИЛОЖЕНИЯ, если имеются, могут включать таблицы, диаграммы, графики и другие формы представления научной информации.</w:t>
      </w:r>
    </w:p>
    <w:p w14:paraId="B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реферат должен представлять собой не только классическую компиляцию, но и научное рассмотрение заявленной в нем темы, что предполагает ее самостоятельный анализ, по меньшей мере, развернуто комментирующий существующие подходы и положения.</w:t>
      </w:r>
    </w:p>
    <w:p w14:paraId="C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реферата аспиранта осуществляется преподавателем, ведущим практические занятия по дисциплине «История и философия науки».</w:t>
      </w:r>
    </w:p>
    <w:p w14:paraId="C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титульном листе реферата должна быть виза научного руководителя аспиранта (соискателя).</w:t>
      </w:r>
    </w:p>
    <w:p w14:paraId="C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C3010000">
      <w:pPr>
        <w:pStyle w:val="61"/>
        <w:numPr>
          <w:ilvl w:val="1"/>
          <w:numId w:val="1"/>
        </w:numPr>
        <w:spacing w:before="120" w:after="12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10" w:name="_Toc17364"/>
      <w:r>
        <w:rPr>
          <w:rFonts w:ascii="Times New Roman" w:hAnsi="Times New Roman"/>
          <w:b/>
          <w:sz w:val="24"/>
        </w:rPr>
        <w:t>Промежуточная аттестация</w:t>
      </w:r>
      <w:bookmarkEnd w:id="10"/>
    </w:p>
    <w:p w14:paraId="C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</w:t>
      </w:r>
      <w:r>
        <w:rPr>
          <w:rFonts w:ascii="Times New Roman" w:hAnsi="Times New Roman"/>
          <w:color w:val="000000"/>
          <w:sz w:val="24"/>
          <w:lang w:val="ru-RU"/>
        </w:rPr>
        <w:t>и</w:t>
      </w:r>
      <w:bookmarkStart w:id="17" w:name="_GoBack"/>
      <w:bookmarkEnd w:id="17"/>
      <w:r>
        <w:rPr>
          <w:rFonts w:ascii="Times New Roman" w:hAnsi="Times New Roman"/>
          <w:color w:val="000000"/>
          <w:sz w:val="24"/>
        </w:rPr>
        <w:t xml:space="preserve">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</w:p>
    <w:p w14:paraId="C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C6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C7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413"/>
        <w:gridCol w:w="1401"/>
      </w:tblGrid>
      <w:tr w14:paraId="72BE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904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E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7E5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41F6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 w14:paraId="4D74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3455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DB010000">
      <w:pPr>
        <w:pStyle w:val="61"/>
        <w:spacing w:before="120" w:after="12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 философского знания, заключающуюся в том, что каждая категория философии имплицитно содержит в себе всю совокупность логико-познавательного инструментария философской науки. На экзамене членами приемной комиссией могут быть заданы дополнительные или уточняющие вопросы.</w:t>
      </w:r>
    </w:p>
    <w:p w14:paraId="DC01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68"/>
        <w:gridCol w:w="2474"/>
      </w:tblGrid>
      <w:tr w14:paraId="3119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E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F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650B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E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E3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E4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4C01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E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E9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EA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5A20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EE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EF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F0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1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B9B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1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F401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F6010000">
      <w:pPr>
        <w:pStyle w:val="61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F7010000">
      <w:pPr>
        <w:pStyle w:val="61"/>
        <w:numPr>
          <w:ilvl w:val="0"/>
          <w:numId w:val="1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11" w:name="_Toc13065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11"/>
    </w:p>
    <w:p w14:paraId="71938781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уменяи и навыков</w:t>
      </w:r>
      <w:r>
        <w:rPr>
          <w:rStyle w:val="39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4A81501C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</w:p>
    <w:p w14:paraId="FA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Порядок проведения текущего контроля</w:t>
      </w:r>
      <w:r>
        <w:rPr>
          <w:rStyle w:val="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FB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Текущий контроль</w:t>
      </w:r>
      <w:r>
        <w:rPr>
          <w:rStyle w:val="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FC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FD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FE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FF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При аттестации обучающихся учитываются следующие факторы:</w:t>
      </w:r>
    </w:p>
    <w:p w14:paraId="00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01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02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03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04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05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06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07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2" w:name="_Hlk66277378"/>
      <w:r>
        <w:rPr>
          <w:rFonts w:ascii="Times New Roman" w:hAnsi="Times New Roman"/>
          <w:sz w:val="24"/>
        </w:rPr>
        <w:t>Рубежный контроль является формой оценивания результатов обучения в виде умений и навыков.</w:t>
      </w:r>
      <w:bookmarkEnd w:id="12"/>
    </w:p>
    <w:p w14:paraId="08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</w:p>
    <w:p w14:paraId="0902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0A02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Промежуточная аттестация</w:t>
      </w:r>
      <w:r>
        <w:rPr>
          <w:rStyle w:val="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0B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аспирантуре. </w:t>
      </w:r>
    </w:p>
    <w:p w14:paraId="0C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0D020000">
      <w:pPr>
        <w:pStyle w:val="6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3" w:name="_Toc19348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3"/>
    </w:p>
    <w:p w14:paraId="0E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1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1102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8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374F739A"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BD137F6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1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1B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1C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1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02FA1EC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4BEF27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1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CC6BC97"/>
        </w:tc>
      </w:tr>
      <w:tr w14:paraId="0AE8822F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2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2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2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2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2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74419F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577C373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2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A645EA"/>
        </w:tc>
      </w:tr>
      <w:tr w14:paraId="319402D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0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31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32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33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34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36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37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38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39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8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70A5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3B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3C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E98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90B362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4742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229382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4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4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115060"/>
        </w:tc>
      </w:tr>
      <w:tr w14:paraId="7176E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4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0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1988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7F3CC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7D67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5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5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F83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E83A3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C59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4" w:name="_Hlk504003203"/>
    </w:p>
    <w:p w14:paraId="7002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8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BAF2A74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549201E0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6020000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77020000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45B1473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9020000">
            <w:pPr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7A020000">
            <w:pPr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316AE4C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C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7D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7E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4"/>
          </w:p>
        </w:tc>
      </w:tr>
    </w:tbl>
    <w:p w14:paraId="7F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5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5"/>
    </w:p>
    <w:p w14:paraId="81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83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84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6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6"/>
    </w:p>
    <w:p w14:paraId="86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88020000">
      <w:pPr>
        <w:spacing w:after="0" w:line="240" w:lineRule="auto"/>
        <w:ind w:left="0" w:firstLine="709"/>
        <w:jc w:val="both"/>
        <w:rPr>
          <w:rStyle w:val="39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7EB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24"/>
      <w:jc w:val="right"/>
    </w:pPr>
  </w:p>
  <w:p w14:paraId="02000000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2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"/>
      <w:lvlJc w:val="left"/>
      <w:pPr>
        <w:ind w:left="720" w:hanging="360"/>
      </w:pPr>
      <w:rPr>
        <w:rFonts w:ascii="Symbol" w:hAnsi="Symbol"/>
        <w:strike w:val="0"/>
        <w:color w:val="000000"/>
        <w:sz w:val="28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B405DCE"/>
    <w:rsid w:val="500A0245"/>
    <w:rsid w:val="70805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uiPriority w:val="0"/>
    <w:rPr>
      <w:vertAlign w:val="superscript"/>
    </w:rPr>
  </w:style>
  <w:style w:type="character" w:styleId="10">
    <w:name w:val="Hyperlink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14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after="0" w:line="240" w:lineRule="auto"/>
      <w:ind w:left="0" w:firstLine="397"/>
      <w:jc w:val="center"/>
    </w:pPr>
    <w:rPr>
      <w:rFonts w:ascii="Times New Roman" w:hAnsi="Times New Roman"/>
      <w:sz w:val="28"/>
    </w:rPr>
  </w:style>
  <w:style w:type="paragraph" w:styleId="17">
    <w:name w:val="toc 1"/>
    <w:basedOn w:val="1"/>
    <w:next w:val="1"/>
    <w:uiPriority w:val="39"/>
    <w:pPr>
      <w:spacing w:after="100"/>
    </w:pPr>
    <w:rPr>
      <w:rFonts w:ascii="Times New Roman" w:hAnsi="Times New Roman"/>
    </w:rPr>
  </w:style>
  <w:style w:type="paragraph" w:styleId="18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20">
    <w:name w:val="toc 2"/>
    <w:basedOn w:val="1"/>
    <w:next w:val="1"/>
    <w:uiPriority w:val="39"/>
    <w:pPr>
      <w:spacing w:after="100"/>
      <w:ind w:left="220" w:firstLine="0"/>
    </w:pPr>
    <w:rPr>
      <w:rFonts w:ascii="Times New Roman" w:hAnsi="Times New Roman"/>
    </w:rPr>
  </w:style>
  <w:style w:type="paragraph" w:styleId="21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4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6">
    <w:name w:val="WW-Базовый"/>
    <w:link w:val="27"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7">
    <w:name w:val="WW-Базовый1"/>
    <w:link w:val="26"/>
    <w:uiPriority w:val="0"/>
    <w:rPr>
      <w:rFonts w:ascii="Times New Roman" w:hAnsi="Times New Roman"/>
      <w:color w:val="000000"/>
      <w:sz w:val="24"/>
    </w:rPr>
  </w:style>
  <w:style w:type="paragraph" w:customStyle="1" w:styleId="28">
    <w:name w:val="Style58"/>
    <w:basedOn w:val="1"/>
    <w:link w:val="29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9">
    <w:name w:val="Style581"/>
    <w:link w:val="28"/>
    <w:uiPriority w:val="0"/>
    <w:rPr>
      <w:rFonts w:ascii="Times New Roman" w:hAnsi="Times New Roman"/>
      <w:sz w:val="24"/>
    </w:rPr>
  </w:style>
  <w:style w:type="paragraph" w:customStyle="1" w:styleId="30">
    <w:name w:val="Заголовок №72"/>
    <w:link w:val="31"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1">
    <w:name w:val="Заголовок №721"/>
    <w:link w:val="3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2">
    <w:name w:val="Endnote"/>
    <w:link w:val="3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Основной текст (39)"/>
    <w:link w:val="3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35">
    <w:name w:val="Основной текст (39)12"/>
    <w:link w:val="34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6">
    <w:name w:val="Font Style30"/>
    <w:link w:val="37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">
    <w:name w:val="Font Style301"/>
    <w:link w:val="36"/>
    <w:qFormat/>
    <w:uiPriority w:val="0"/>
    <w:rPr>
      <w:rFonts w:ascii="Times New Roman" w:hAnsi="Times New Roman"/>
      <w:b/>
      <w:sz w:val="26"/>
    </w:rPr>
  </w:style>
  <w:style w:type="paragraph" w:customStyle="1" w:styleId="38">
    <w:name w:val="Font Style76"/>
    <w:link w:val="3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">
    <w:name w:val="Font Style761"/>
    <w:link w:val="38"/>
    <w:qFormat/>
    <w:uiPriority w:val="0"/>
    <w:rPr>
      <w:rFonts w:ascii="Times New Roman" w:hAnsi="Times New Roman"/>
      <w:sz w:val="26"/>
    </w:rPr>
  </w:style>
  <w:style w:type="paragraph" w:customStyle="1" w:styleId="40">
    <w:name w:val="Font Style13"/>
    <w:link w:val="4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3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Style5"/>
    <w:basedOn w:val="1"/>
    <w:link w:val="43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3">
    <w:name w:val="Style51"/>
    <w:link w:val="42"/>
    <w:qFormat/>
    <w:uiPriority w:val="0"/>
    <w:rPr>
      <w:rFonts w:ascii="Times New Roman" w:hAnsi="Times New Roman"/>
      <w:sz w:val="24"/>
    </w:rPr>
  </w:style>
  <w:style w:type="paragraph" w:customStyle="1" w:styleId="44">
    <w:name w:val="Заголовок №74"/>
    <w:link w:val="4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5">
    <w:name w:val="Заголовок №741"/>
    <w:link w:val="4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6">
    <w:name w:val="Footnote"/>
    <w:basedOn w:val="1"/>
    <w:link w:val="4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47">
    <w:name w:val="Footnote1"/>
    <w:link w:val="46"/>
    <w:qFormat/>
    <w:uiPriority w:val="0"/>
    <w:rPr>
      <w:rFonts w:ascii="Calibri" w:hAnsi="Calibri"/>
      <w:sz w:val="20"/>
    </w:rPr>
  </w:style>
  <w:style w:type="paragraph" w:customStyle="1" w:styleId="48">
    <w:name w:val="Header and Footer"/>
    <w:link w:val="49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9">
    <w:name w:val="Header and Footer1"/>
    <w:link w:val="48"/>
    <w:qFormat/>
    <w:uiPriority w:val="0"/>
    <w:rPr>
      <w:rFonts w:ascii="XO Thames" w:hAnsi="XO Thames"/>
      <w:sz w:val="20"/>
    </w:rPr>
  </w:style>
  <w:style w:type="paragraph" w:customStyle="1" w:styleId="50">
    <w:name w:val="Основной текст (39)11"/>
    <w:basedOn w:val="1"/>
    <w:link w:val="51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51">
    <w:name w:val="Основной текст (39)1"/>
    <w:link w:val="50"/>
    <w:qFormat/>
    <w:uiPriority w:val="0"/>
    <w:rPr>
      <w:rFonts w:ascii="Times New Roman" w:hAnsi="Times New Roman"/>
      <w:i/>
    </w:rPr>
  </w:style>
  <w:style w:type="paragraph" w:customStyle="1" w:styleId="52">
    <w:name w:val="TOC Heading"/>
    <w:basedOn w:val="2"/>
    <w:next w:val="1"/>
    <w:link w:val="53"/>
    <w:qFormat/>
    <w:uiPriority w:val="0"/>
    <w:pPr>
      <w:outlineLvl w:val="8"/>
    </w:pPr>
  </w:style>
  <w:style w:type="character" w:customStyle="1" w:styleId="53">
    <w:name w:val="TOC Heading1"/>
    <w:link w:val="52"/>
    <w:qFormat/>
    <w:uiPriority w:val="0"/>
  </w:style>
  <w:style w:type="paragraph" w:customStyle="1" w:styleId="54">
    <w:name w:val="Основной текст (5)"/>
    <w:basedOn w:val="1"/>
    <w:link w:val="55"/>
    <w:qFormat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55">
    <w:name w:val="Основной текст (5)1"/>
    <w:link w:val="54"/>
    <w:qFormat/>
    <w:uiPriority w:val="0"/>
    <w:rPr>
      <w:rFonts w:ascii="Times New Roman" w:hAnsi="Times New Roman"/>
    </w:rPr>
  </w:style>
  <w:style w:type="paragraph" w:customStyle="1" w:styleId="56">
    <w:name w:val="Default"/>
    <w:link w:val="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57">
    <w:name w:val="Default1"/>
    <w:link w:val="56"/>
    <w:qFormat/>
    <w:uiPriority w:val="0"/>
    <w:rPr>
      <w:rFonts w:ascii="Times New Roman" w:hAnsi="Times New Roman"/>
      <w:color w:val="000000"/>
      <w:sz w:val="24"/>
    </w:rPr>
  </w:style>
  <w:style w:type="paragraph" w:customStyle="1" w:styleId="58">
    <w:name w:val="Основной текст (18) + Не курсив"/>
    <w:link w:val="5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59">
    <w:name w:val="Основной текст (18) + Не курсив1"/>
    <w:link w:val="58"/>
    <w:qFormat/>
    <w:uiPriority w:val="0"/>
    <w:rPr>
      <w:rFonts w:ascii="Times New Roman" w:hAnsi="Times New Roman"/>
      <w:highlight w:val="white"/>
    </w:rPr>
  </w:style>
  <w:style w:type="paragraph" w:styleId="60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1">
    <w:name w:val="List Paragraph"/>
    <w:basedOn w:val="1"/>
    <w:qFormat/>
    <w:uiPriority w:val="0"/>
    <w:pPr>
      <w:ind w:left="720" w:firstLine="0"/>
      <w:contextualSpacing/>
    </w:pPr>
    <w:rPr>
      <w:rFonts w:ascii="Calibri" w:hAnsi="Calibri"/>
    </w:rPr>
  </w:style>
  <w:style w:type="paragraph" w:customStyle="1" w:styleId="62">
    <w:name w:val="Style8"/>
    <w:basedOn w:val="1"/>
    <w:link w:val="63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3">
    <w:name w:val="Style81"/>
    <w:link w:val="62"/>
    <w:uiPriority w:val="0"/>
    <w:rPr>
      <w:rFonts w:ascii="Times New Roman" w:hAnsi="Times New Roman"/>
      <w:sz w:val="24"/>
    </w:rPr>
  </w:style>
  <w:style w:type="paragraph" w:customStyle="1" w:styleId="64">
    <w:name w:val="Заголовок №71"/>
    <w:basedOn w:val="1"/>
    <w:link w:val="65"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5">
    <w:name w:val="Заголовок №711"/>
    <w:link w:val="64"/>
    <w:uiPriority w:val="0"/>
    <w:rPr>
      <w:rFonts w:ascii="Times New Roman" w:hAnsi="Times New Roman"/>
      <w:b/>
      <w:sz w:val="27"/>
    </w:rPr>
  </w:style>
  <w:style w:type="paragraph" w:customStyle="1" w:styleId="66">
    <w:name w:val="Основной текст (18)"/>
    <w:basedOn w:val="1"/>
    <w:link w:val="67"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67">
    <w:name w:val="Основной текст (18)1"/>
    <w:link w:val="66"/>
    <w:uiPriority w:val="0"/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2025-07-29T18:14:00Z</dcterms:created>
  <dc:creator>mariy</dc:creator>
  <cp:lastModifiedBy>mariy</cp:lastModifiedBy>
  <dcterms:modified xsi:type="dcterms:W3CDTF">2025-07-31T12:48:53Z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