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left="360"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14:ligatures w14:val="none"/>
        </w:rPr>
        <w:t xml:space="preserve">БИЛЕТЫ ДЛЯ ПИСЬМЕННОГО КАНДИДАТСКОГО ЭКЗАМЕНА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</w:p>
    <w:p>
      <w:pPr>
        <w:spacing w:after="0" w:line="298" w:lineRule="exact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tbl>
      <w:tblPr>
        <w:tblStyle w:val="809"/>
        <w:tblW w:w="0" w:type="auto"/>
        <w:tblLayout w:type="fixed"/>
        <w:tblLook w:val="04A0" w:firstRow="1" w:lastRow="0" w:firstColumn="1" w:lastColumn="0" w:noHBand="0" w:noVBand="1"/>
      </w:tblPr>
      <w:tblGrid>
        <w:gridCol w:w="1700"/>
        <w:gridCol w:w="4536"/>
        <w:gridCol w:w="4109"/>
      </w:tblGrid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№ билета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Вопрос 1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Вопрос 2 </w:t>
            </w:r>
            <w:r/>
          </w:p>
        </w:tc>
      </w:tr>
      <w:tr>
        <w:tblPrEx/>
        <w:trPr>
          <w:trHeight w:val="142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 линейных объектов системы газоснабжения и источники правового регулирования строительства и эксплуатации линейных объектов системы газоснабжения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 публичного сервитута и источники правового регулирования установления публичного сервитута для строительства и эксплуатации линейных объектов системы газоснабжения</w:t>
            </w:r>
            <w:r/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Основы правового режима земельных участков для размещения объектов энергетики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Введение в гражданский оборот земельных участков для размещения объектов энергетики</w:t>
            </w:r>
            <w:r/>
          </w:p>
        </w:tc>
      </w:tr>
      <w:tr>
        <w:tblPrEx/>
        <w:trPr>
          <w:trHeight w:val="85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 климатического проекта и источники правового регулирования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Публично-правовое регулирование реализации климатических проектов</w:t>
            </w:r>
            <w:r/>
          </w:p>
        </w:tc>
      </w:tr>
      <w:tr>
        <w:tblPrEx/>
        <w:trPr>
          <w:trHeight w:val="114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Понятие, виды реабилитационных медицинских центров и источники правового регулирования порядка их создания и деятельности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Правовое положение субъектов права на получение реабилитационной медицинской помощи</w:t>
            </w:r>
            <w:r/>
          </w:p>
        </w:tc>
      </w:tr>
      <w:tr>
        <w:tblPrEx/>
        <w:trPr>
          <w:trHeight w:val="85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Линейные объекты в электроэнергетике как вид объектов топливно-энергетического комплекса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Линии электропередачи как недвижимые объекты электросетевого хозяйства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/>
          </w:p>
        </w:tc>
      </w:tr>
      <w:tr>
        <w:tblPrEx/>
        <w:trPr>
          <w:trHeight w:val="142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 и особенности атрибутов генерации и сертификатов происхождения электрической энергии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Атрибуты генерации и сертификаты происхождения электрической энергии как объекты гражданских прав</w:t>
            </w:r>
            <w:r/>
          </w:p>
        </w:tc>
      </w:tr>
      <w:tr>
        <w:tblPrEx/>
        <w:trPr>
          <w:trHeight w:val="114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 рынка сжиженного природного газа и источники правового регулирования функционирования рынка сжиженного природного газа в Российской Федерации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Государственное регулирование рынка сжиженного природного газа</w:t>
            </w:r>
            <w:r/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Теоретико-правовые основы института перестрахования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Гражданско-правовые механизмы регулирования института перестрахования</w:t>
            </w:r>
            <w:r/>
          </w:p>
        </w:tc>
      </w:tr>
      <w:tr>
        <w:tblPrEx/>
        <w:trPr>
          <w:trHeight w:val="114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Билет №9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Понятие компаний топливно-энергетического комплекса с зарубежным участием и источники правового регулирования их деятельности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Особенности и ограничения при осуществлении корпоративного управления в компаниях топливно-энергетического комплекса с зарубежным участием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1140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№10</w:t>
            </w:r>
            <w:r>
              <w:rPr>
                <w:rFonts w:ascii="Times New Roman" w:hAnsi="Times New Roman" w:eastAsia="Times New Roman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14:ligatures w14:val="non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  <w:rPr>
                <w:rFonts w:ascii="Times New Roman" w:hAnsi="Times New Roman" w:eastAsia="Times New Roman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 и источники правового регулирования деятельности медицинских организаций как участников на рынке добровольного медицинского страхования</w:t>
            </w:r>
            <w:r>
              <w:rPr>
                <w:rFonts w:ascii="Times New Roman" w:hAnsi="Times New Roman" w:eastAsia="Times New Roman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14:ligatures w14:val="non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  <w:rPr>
                <w:rFonts w:ascii="Times New Roman" w:hAnsi="Times New Roman" w:eastAsia="Times New Roman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Договорное регулирование отношений с участием медицинских организаций на рынке добровольного медицинского страхования</w:t>
            </w:r>
            <w:r>
              <w:rPr>
                <w:rFonts w:ascii="Times New Roman" w:hAnsi="Times New Roman" w:eastAsia="Times New Roman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14:ligatures w14:val="none"/>
              </w:rPr>
            </w:r>
          </w:p>
        </w:tc>
      </w:tr>
      <w:tr>
        <w:tblPrEx/>
        <w:trPr>
          <w:trHeight w:val="1136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№11</w:t>
            </w:r>
            <w:r>
              <w:rPr>
                <w:rFonts w:ascii="Times New Roman" w:hAnsi="Times New Roman" w:eastAsia="Times New Roman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14:ligatures w14:val="non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  <w:rPr>
                <w:rFonts w:ascii="Times New Roman" w:hAnsi="Times New Roman" w:eastAsia="Times New Roman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Система правового регулирования деятельности сетевых организаций</w:t>
            </w:r>
            <w:r>
              <w:rPr>
                <w:rFonts w:ascii="Times New Roman" w:hAnsi="Times New Roman" w:eastAsia="Times New Roman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14:ligatures w14:val="non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  <w:rPr>
                <w:rFonts w:ascii="Times New Roman" w:hAnsi="Times New Roman" w:eastAsia="Times New Roman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Правовое положение сетевых организаций как участников публично-правовых отношений</w:t>
            </w:r>
            <w:r>
              <w:rPr>
                <w:rFonts w:ascii="Times New Roman" w:hAnsi="Times New Roman" w:eastAsia="Times New Roman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14:ligatures w14:val="none"/>
              </w:rPr>
            </w:r>
          </w:p>
        </w:tc>
      </w:tr>
      <w:tr>
        <w:tblPrEx/>
        <w:trPr>
          <w:trHeight w:val="11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 и источники правового регулирования информационной безопасности страховой деятельности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Публично-правовое регулирование и контроль над обеспечением информационной безопасности страховой деятельности</w:t>
            </w:r>
            <w:r/>
          </w:p>
        </w:tc>
      </w:tr>
      <w:tr>
        <w:tblPrEx/>
        <w:trPr>
          <w:trHeight w:val="142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Правовой режим судов и иных плавсредств с ядерными установками и радиационными источниками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Публично-правовое регулирование отношений в связи с выводом из эксплуатации судов и иных плавсредств с ядерными установками и радиационными источниками</w:t>
            </w:r>
            <w:r/>
          </w:p>
        </w:tc>
      </w:tr>
      <w:tr>
        <w:tblPrEx/>
        <w:trPr>
          <w:trHeight w:val="11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Правовое регулирование зон с особыми условиями использования территорий, возникающих в связи с размещением магистральных нефтепроводов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Правовые гарантии соблюдения режима охранных зон, минимальных расстояний и санитарно-защитных зон магистральных нефтепроводов</w:t>
            </w:r>
            <w:r/>
          </w:p>
        </w:tc>
      </w:tr>
      <w:tr>
        <w:tblPrEx/>
        <w:trPr>
          <w:trHeight w:val="85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Купля-продажа мощности как особо конкурентного отбора мощности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Элементы договора купли-продажи мощности по результатам конкурентного отбора мощности</w:t>
            </w:r>
            <w:r/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№16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История правового регулирования медицинского страхования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Правовое регулирование медицинского страхования в Российской Федерации на современном этапе</w:t>
            </w:r>
            <w:r/>
          </w:p>
        </w:tc>
      </w:tr>
      <w:tr>
        <w:tblPrEx/>
        <w:trPr>
          <w:trHeight w:val="11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№17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Источники правового регулирования телемедицинских услуг в Российской Федерации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Организационно-правовые модели оказания телемедицинских услуг в межгосударственных объединениях и зарубежных странах</w:t>
            </w:r>
            <w:r/>
          </w:p>
        </w:tc>
      </w:tr>
      <w:tr>
        <w:tblPrEx/>
        <w:trPr>
          <w:trHeight w:val="142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№18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 ядерно и радиационно опасных объектов и источники правового регулирования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Правовое положения организаций, эксплуатирующих ядерно и радиационно опасных объектов в Российской Федерации</w:t>
            </w:r>
            <w:r/>
          </w:p>
        </w:tc>
      </w:tr>
      <w:tr>
        <w:tblPrEx/>
        <w:trPr>
          <w:trHeight w:val="11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№19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 и источники правового регулирования общественных отношений в сфере резервирования электрической мощности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Публично-правовое регулирование отношений по резервированию электрической мощности</w:t>
            </w:r>
            <w:r/>
          </w:p>
        </w:tc>
      </w:tr>
      <w:tr>
        <w:tblPrEx/>
        <w:trPr>
          <w:trHeight w:val="114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 и виды ответственности за неисполнение обязательств по оплате энергоресурсов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Правовой анализ платежной дисциплины потребителей энергоресурсов в сфере электроснабжения, теплоснабжения и газоснабжения</w:t>
            </w:r>
            <w:r/>
          </w:p>
        </w:tc>
      </w:tr>
      <w:tr>
        <w:tblPrEx/>
        <w:trPr>
          <w:trHeight w:val="11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№21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 обязательного медицинского страхования и источников правового регулирования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Особенности публично-правового регулирования в сфере обязательного медицинского страхования в Российской Федерации</w:t>
            </w:r>
            <w:r/>
          </w:p>
        </w:tc>
      </w:tr>
      <w:tr>
        <w:tblPrEx/>
        <w:trPr>
          <w:trHeight w:val="142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 специальных экономических зон и источников правового регулирования порядка их формирования и функционирования в Российской Федерации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Порядок формирования и функционирования специальных экономических зон со сферой инвестирования в области энергетики за рубежом</w:t>
            </w:r>
            <w:r/>
          </w:p>
        </w:tc>
      </w:tr>
      <w:tr>
        <w:tblPrEx/>
        <w:trPr>
          <w:trHeight w:val="85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№23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Понятие, виды беспилотных транспортных средств и источники правового регулирования их использования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Государственное регулирование использования беспилотных транспортных средств в Российской Федерации</w:t>
            </w:r>
            <w:r/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№24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Цели, содержание и источники правового регулирования экспорта нефти и нефтепродуктов из Российской Федерации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Государственное регулирование экспорта нефти и нефтепродуктов из Российской Федерации</w:t>
            </w:r>
            <w:r/>
          </w:p>
        </w:tc>
      </w:tr>
      <w:tr>
        <w:tblPrEx/>
        <w:trPr>
          <w:trHeight w:val="85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№25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Цели, содержание антимонопольного регулирования и контроля в сфере электроэнергетики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Средства антимонопольного регулирования в электроэнергетике</w:t>
            </w:r>
            <w:r/>
          </w:p>
        </w:tc>
      </w:tr>
      <w:tr>
        <w:tblPrEx/>
        <w:trPr>
          <w:trHeight w:val="85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№26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Медиация как альтернативная процедура урегулирования споров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Процедура проведения медиации</w:t>
            </w:r>
            <w:r/>
          </w:p>
        </w:tc>
      </w:tr>
      <w:tr>
        <w:tblPrEx/>
        <w:trPr>
          <w:trHeight w:val="85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№27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Теоретико-правовые подходы к развитию системы обязательного медицинского страхования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Нормативно-правовая база оказания медицинских услуг по программам ОМС</w:t>
            </w:r>
            <w:r/>
          </w:p>
        </w:tc>
      </w:tr>
      <w:tr>
        <w:tblPrEx/>
        <w:trPr>
          <w:trHeight w:val="114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№28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 и предмет заключения акционерного соглашения с иностранными акционерами в нефтегазовых компаниях в Российской Федерации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Правовое регулирования заключения и исполнения акционерного соглашения в нефтегазовых компаниях государств-членов Евразийского экономического союза</w:t>
            </w:r>
            <w:r/>
          </w:p>
        </w:tc>
      </w:tr>
      <w:tr>
        <w:tblPrEx/>
        <w:trPr>
          <w:trHeight w:val="1140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№29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 и источники правового регулирования деятельности страховых организаций как участников рынка добровольного медицинского страхования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Правовое положение страховых организаций как участников частноправовых отношении в сфере добровольного медицинского страхования</w:t>
            </w:r>
            <w:r/>
          </w:p>
        </w:tc>
      </w:tr>
      <w:tr>
        <w:tblPrEx/>
        <w:trPr>
          <w:trHeight w:val="570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№30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 переработки природного газа и источники правового регулирования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Договорное регулирование отношений по переработке природного газа</w:t>
            </w:r>
            <w:r/>
          </w:p>
        </w:tc>
      </w:tr>
      <w:tr>
        <w:tblPrEx/>
        <w:trPr>
          <w:trHeight w:val="1425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№31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Договор на строительство генерирующих объектов, функционирующих на основе возобновляемых источников энергии как важных инвестиционный инструмент развития ВИЭ генерации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Элементы договора на строительство генерирующих объектов, функционирующих на основе возобновляемых источников энергии</w:t>
            </w:r>
            <w:r/>
          </w:p>
        </w:tc>
      </w:tr>
      <w:tr>
        <w:tblPrEx/>
        <w:trPr>
          <w:trHeight w:val="57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№32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Понятия и виды договоров обязательного медицинского страхования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Нормативные правовые основы ОМС</w:t>
            </w:r>
            <w:r/>
          </w:p>
        </w:tc>
      </w:tr>
      <w:tr>
        <w:tblPrEx/>
        <w:trPr>
          <w:trHeight w:val="114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№33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Общая характеристика программ для электронных вычислительных машин как объектов гражданских прав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Гражданско-правовые способы распоряжения исключительным правом на программу для ЭВМ</w:t>
            </w:r>
            <w:r/>
          </w:p>
        </w:tc>
      </w:tr>
      <w:tr>
        <w:tblPrEx/>
        <w:trPr>
          <w:trHeight w:val="114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 IT платформы и источники правового регулирования их использования в Российской Федерации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 IT платформы и источники правового регулирования их использования за рубежом</w:t>
            </w:r>
            <w:r/>
          </w:p>
        </w:tc>
      </w:tr>
      <w:tr>
        <w:tblPrEx/>
        <w:trPr>
          <w:trHeight w:val="114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№35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Использование информационных технологий в сфере обязательного медицинского страхования как предмет научного правового исследования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Основные аспекты охраны информации в обязательном медицинском страховании</w:t>
            </w:r>
            <w:r/>
          </w:p>
        </w:tc>
      </w:tr>
      <w:tr>
        <w:tblPrEx/>
        <w:trPr>
          <w:trHeight w:val="114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№36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Цели, задачи, источники правового регулирования возмещения вреда окружающей среде от загрязнения нефтью и нефтепродуктами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Порядок возмещения вреда окружающей среде от загрязнения нефти и нефтепродуктами, определение его размера</w:t>
            </w:r>
            <w:r/>
          </w:p>
        </w:tc>
      </w:tr>
      <w:tr>
        <w:tblPrEx/>
        <w:trPr>
          <w:trHeight w:val="142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№37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 договора добровольного медицинского страхования и источники правового регулирования отношений, возникающих при осуществлении добровольного медицинского страхования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Порядок заключения договора добровольного медицинского страхования и виды страховых случаев</w:t>
            </w:r>
            <w:r/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№38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Теоретико-правовые подходы к защите морской среды от загрязнения при судоходстве по Северному морскому пути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Международно-правовые инструменты защиты морской среды от загрязнения при судоходстве по Северному морскому пути</w:t>
            </w:r>
            <w:r/>
          </w:p>
        </w:tc>
      </w:tr>
      <w:tr>
        <w:tblPrEx/>
        <w:trPr>
          <w:trHeight w:val="85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№39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 дополнительного инвестиционного дохода в договорах страхования жизни и источники правового регулирования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Становление правового регулирования инвестиционного дохода в страховании жизни</w:t>
            </w:r>
            <w:r/>
          </w:p>
        </w:tc>
      </w:tr>
      <w:tr>
        <w:tblPrEx/>
        <w:trPr>
          <w:trHeight w:val="171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 и источники международно-правового регулирования строительства атомных электростанций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Особенности возникновения договорных отношений, обеспечения исполнения обязательств и обеспечение защиты инвестиций при реализации трансграничных проектов по строительству атомных электростанций</w:t>
            </w:r>
            <w:r/>
          </w:p>
        </w:tc>
      </w:tr>
      <w:tr>
        <w:tblPrEx/>
        <w:trPr>
          <w:trHeight w:val="85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№41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Особенности расчетов за тепловую энергию (мощность), теплоноситель и за услуги по передаче тепловой энергии, теплоносителя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Государственное регулирование цен (тарифов) в сфере теплоснабжения</w:t>
            </w:r>
            <w:r/>
          </w:p>
        </w:tc>
      </w:tr>
      <w:tr>
        <w:tblPrEx/>
        <w:trPr>
          <w:trHeight w:val="142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№42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Цели, содержание, виды медицинского страхования и источники правового регулирования института медицинского страхования в системе здравоохранения Российской Федерации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Государственное регулирование медицинского страхования в системе здравоохранения Российской Федерации</w:t>
            </w:r>
            <w:r/>
          </w:p>
        </w:tc>
      </w:tr>
      <w:tr>
        <w:tblPrEx/>
        <w:trPr>
          <w:trHeight w:val="199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№43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 и источники правового регулирования биржевых торгов энергетическими ресурсами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Правовое положение биржи как порядок взаимодействия с участниками торгов, инфраструктурными организациями, а также уполномоченными органами, осуществляющими регулирование и контроль за организацией биржевых торгов энергетическими ресурсами</w:t>
            </w:r>
            <w:r/>
          </w:p>
        </w:tc>
      </w:tr>
      <w:tr>
        <w:tblPrEx/>
        <w:trPr>
          <w:trHeight w:val="85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№44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Сетевая организация как коммерческая организация, оказывающая услуги в сфере энергоснабжения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Особенности правового положения Федеральной сетевой компании - Россети и территориальных сетевых организаций</w:t>
            </w:r>
            <w:r/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№45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Правовые аспекты киберстрахования в сфере энергетики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Обеспечение правовой защиты информационных активов в сфере энергетики</w:t>
            </w:r>
            <w:r/>
          </w:p>
        </w:tc>
      </w:tr>
      <w:tr>
        <w:tblPrEx/>
        <w:trPr>
          <w:trHeight w:val="85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№46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Особенности регулирования договорных отношений на розничных рынках электрической энергии (мощности) в России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 и элементы договора энергоснабжения</w:t>
            </w:r>
            <w:r/>
          </w:p>
        </w:tc>
      </w:tr>
      <w:tr>
        <w:tblPrEx/>
        <w:trPr>
          <w:trHeight w:val="114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№47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Теоретико-правовые основы обеспечения информационной безопасности личности в сети "Интернет"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Публично-правовое регулирование в сфере обеспечения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информационной безопасности личности в сети «Интернет».</w:t>
            </w:r>
            <w:r/>
          </w:p>
        </w:tc>
      </w:tr>
      <w:tr>
        <w:tblPrEx/>
        <w:trPr>
          <w:trHeight w:val="42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№48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Правовые основы регулирования отношений с участием независимых производителей газа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Оценка содержания норм российского законодательства, ограничивающих возможность справедливой конкуренции для независимых производителей газа</w:t>
            </w:r>
            <w:r/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№49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 переработки попутного нефтяного газа и источники правового регулирования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Договорное регулирование отношений по переработке попутного нефтяного газа</w:t>
            </w:r>
            <w:r/>
          </w:p>
        </w:tc>
      </w:tr>
      <w:tr>
        <w:tblPrEx/>
        <w:trPr>
          <w:trHeight w:val="85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 страхования профессиональной ответственности медицинских работников и источники правового регулирования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Государственное регулирование предоставления медицинской помощи надлежащего качества</w:t>
            </w:r>
            <w:r/>
          </w:p>
        </w:tc>
      </w:tr>
      <w:tr>
        <w:tblPrEx/>
        <w:trPr>
          <w:trHeight w:val="114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№51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 участников торгов на биржевом товарном рывке и источники правового регулирования из деятельности на биржевом товарном рынке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Правовое обеспечение соблюдения участниками торгов требований на биржевом товарном рынке</w:t>
            </w:r>
            <w:r/>
          </w:p>
        </w:tc>
      </w:tr>
      <w:tr>
        <w:tblPrEx/>
        <w:trPr>
          <w:trHeight w:val="142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№52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 и виды международных газовых проектов. Источники правового регулирования трудовых отношений при осуществлении международных газовых проектов в Российской Федерации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Правовое регулирование трудовых отношений в рамках международных газовых проектов за рубежом</w:t>
            </w:r>
            <w:r/>
          </w:p>
        </w:tc>
      </w:tr>
      <w:tr>
        <w:tblPrEx/>
        <w:trPr>
          <w:trHeight w:val="142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№53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Виды цифровых технологий для корпоративного управления и источников их правового регулирования в Российской Федерации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Виды цифровых технологий для корпоративного управления и источники их правового регулирования в государствах-членах Евразийского экономического союза и источники их правового регулирования</w:t>
            </w:r>
            <w:r/>
          </w:p>
        </w:tc>
      </w:tr>
    </w:tbl>
    <w:p>
      <w:pPr>
        <w:jc w:val="both"/>
        <w:spacing w:after="0" w:line="298" w:lineRule="exact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851" w:bottom="1134" w:left="851" w:header="709" w:footer="709" w:gutter="0"/>
      <w:pgNumType w:start="5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050060065"/>
      <w:docPartObj>
        <w:docPartGallery w:val="Page Numbers (Bottom of Page)"/>
        <w:docPartUnique w:val="true"/>
      </w:docPartObj>
      <w:rPr/>
    </w:sdtPr>
    <w:sdtContent>
      <w:p>
        <w:pPr>
          <w:pStyle w:val="95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955"/>
      <w:spacing w:line="14" w:lineRule="auto"/>
      <w:rPr>
        <w:sz w:val="19"/>
      </w:rPr>
    </w:pPr>
    <w:r>
      <w:rPr>
        <w:sz w:val="19"/>
      </w:rPr>
    </w:r>
    <w:r>
      <w:rPr>
        <w:sz w:val="19"/>
      </w:rPr>
    </w:r>
    <w:r>
      <w:rPr>
        <w:sz w:val="19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22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22" w:hanging="497"/>
        <w:jc w:val="right"/>
      </w:pPr>
      <w:rPr>
        <w:rFonts w:hint="default" w:ascii="Times New Roman" w:hAnsi="Times New Roman" w:eastAsia="Times New Roman" w:cs="Times New Roman"/>
        <w:b/>
        <w:bCs/>
        <w:sz w:val="28"/>
        <w:szCs w:val="28"/>
        <w:lang w:val="ru-RU" w:eastAsia="en-US" w:bidi="ar-SA"/>
      </w:rPr>
    </w:lvl>
    <w:lvl w:ilvl="2">
      <w:start w:val="1"/>
      <w:numFmt w:val="bullet"/>
      <w:isLgl w:val="false"/>
      <w:suff w:val="tab"/>
      <w:lvlText w:val=""/>
      <w:lvlJc w:val="left"/>
      <w:pPr>
        <w:ind w:left="122" w:hanging="286"/>
      </w:pPr>
      <w:rPr>
        <w:rFonts w:hint="default" w:ascii="Symbol" w:hAnsi="Symbol" w:eastAsia="Symbol" w:cs="Symbol"/>
        <w:sz w:val="28"/>
        <w:szCs w:val="28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91" w:hanging="28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48" w:hanging="28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05" w:hanging="28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62" w:hanging="28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19" w:hanging="28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76" w:hanging="28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552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327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99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471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543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615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87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759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8312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5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32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9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46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53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61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8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75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8278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2"/>
      <w:numFmt w:val="decimal"/>
      <w:isLgl w:val="false"/>
      <w:suff w:val="tab"/>
      <w:lvlText w:val="%1.%2."/>
      <w:lvlJc w:val="left"/>
      <w:pPr>
        <w:ind w:left="1068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28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788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48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48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08" w:hanging="180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55" w:hanging="245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099" w:hanging="422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3."/>
      <w:lvlJc w:val="left"/>
      <w:pPr>
        <w:ind w:left="2516" w:hanging="423"/>
        <w:jc w:val="right"/>
      </w:pPr>
      <w:rPr>
        <w:rFonts w:hint="default" w:ascii="Times New Roman" w:hAnsi="Times New Roman" w:eastAsia="Times New Roman" w:cs="Times New Roman"/>
        <w:spacing w:val="-10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520" w:hanging="42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49" w:hanging="42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78" w:hanging="42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07" w:hanging="42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36" w:hanging="42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65" w:hanging="423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5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32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9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46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53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61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8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75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8278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5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32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9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46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53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61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8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75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8278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55" w:hanging="245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099" w:hanging="422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3."/>
      <w:lvlJc w:val="left"/>
      <w:pPr>
        <w:ind w:left="2516" w:hanging="423"/>
        <w:jc w:val="right"/>
      </w:pPr>
      <w:rPr>
        <w:rFonts w:hint="default" w:ascii="Times New Roman" w:hAnsi="Times New Roman" w:eastAsia="Times New Roman" w:cs="Times New Roman"/>
        <w:spacing w:val="-10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520" w:hanging="42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49" w:hanging="42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78" w:hanging="42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07" w:hanging="42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36" w:hanging="42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65" w:hanging="423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55" w:hanging="245"/>
      </w:pPr>
      <w:rPr>
        <w:rFonts w:ascii="Times New Roman" w:hAnsi="Times New Roman" w:eastAsia="Arial Unicode MS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099" w:hanging="422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3."/>
      <w:lvlJc w:val="left"/>
      <w:pPr>
        <w:ind w:left="2516" w:hanging="423"/>
        <w:jc w:val="right"/>
      </w:pPr>
      <w:rPr>
        <w:rFonts w:hint="default" w:ascii="Times New Roman" w:hAnsi="Times New Roman" w:eastAsia="Times New Roman" w:cs="Times New Roman"/>
        <w:spacing w:val="-10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520" w:hanging="42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49" w:hanging="42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78" w:hanging="42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07" w:hanging="42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36" w:hanging="42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65" w:hanging="423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left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720" w:hanging="360"/>
        <w:tabs>
          <w:tab w:val="left" w:pos="7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440" w:hanging="180"/>
        <w:tabs>
          <w:tab w:val="left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160" w:hanging="360"/>
        <w:tabs>
          <w:tab w:val="left" w:pos="21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2880" w:hanging="360"/>
        <w:tabs>
          <w:tab w:val="left" w:pos="28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600" w:hanging="180"/>
        <w:tabs>
          <w:tab w:val="left" w:pos="36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320" w:hanging="360"/>
        <w:tabs>
          <w:tab w:val="left" w:pos="43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040" w:hanging="360"/>
        <w:tabs>
          <w:tab w:val="left" w:pos="50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5760" w:hanging="180"/>
        <w:tabs>
          <w:tab w:val="left" w:pos="5760" w:leader="none"/>
        </w:tabs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835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3555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4275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4995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5715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6435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7155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7875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8595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71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71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71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71" w:hanging="180"/>
      </w:pPr>
    </w:lvl>
  </w:abstractNum>
  <w:abstractNum w:abstractNumId="29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22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22" w:hanging="497"/>
        <w:jc w:val="right"/>
      </w:pPr>
      <w:rPr>
        <w:rFonts w:hint="default" w:ascii="Times New Roman" w:hAnsi="Times New Roman" w:eastAsia="Times New Roman" w:cs="Times New Roman"/>
        <w:b/>
        <w:bCs/>
        <w:sz w:val="28"/>
        <w:szCs w:val="28"/>
        <w:lang w:val="ru-RU" w:eastAsia="en-US" w:bidi="ar-SA"/>
      </w:rPr>
    </w:lvl>
    <w:lvl w:ilvl="2">
      <w:start w:val="1"/>
      <w:numFmt w:val="bullet"/>
      <w:isLgl w:val="false"/>
      <w:suff w:val="tab"/>
      <w:lvlText w:val=""/>
      <w:lvlJc w:val="left"/>
      <w:pPr>
        <w:ind w:left="122" w:hanging="286"/>
      </w:pPr>
      <w:rPr>
        <w:rFonts w:hint="default" w:ascii="Symbol" w:hAnsi="Symbol" w:eastAsia="Symbol" w:cs="Symbol"/>
        <w:sz w:val="28"/>
        <w:szCs w:val="28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91" w:hanging="28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48" w:hanging="28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05" w:hanging="28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62" w:hanging="28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19" w:hanging="28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76" w:hanging="286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8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5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2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9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4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1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569" w:hanging="360"/>
      </w:pPr>
      <w:rPr>
        <w:rFonts w:hint="default" w:ascii="Wingdings" w:hAnsi="Wingdings" w:eastAsia="Wingdings" w:cs="Wingdings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71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suff w:val="tab"/>
      <w:lvlText w:val="%1.%2."/>
      <w:lvlJc w:val="left"/>
      <w:pPr>
        <w:ind w:left="1289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787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71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5214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5783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6712" w:hanging="1800"/>
      </w:pPr>
      <w:rPr>
        <w:rFonts w:hint="default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8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44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8" w:hanging="216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552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327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99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471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543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615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87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759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8312" w:hanging="360"/>
      </w:pPr>
      <w:rPr>
        <w:rFonts w:hint="default" w:ascii="Wingdings" w:hAnsi="Wingdings" w:eastAsia="Wingdings" w:cs="Wingdings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34"/>
  </w:num>
  <w:num w:numId="3">
    <w:abstractNumId w:val="31"/>
  </w:num>
  <w:num w:numId="4">
    <w:abstractNumId w:val="20"/>
  </w:num>
  <w:num w:numId="5">
    <w:abstractNumId w:val="29"/>
  </w:num>
  <w:num w:numId="6">
    <w:abstractNumId w:val="17"/>
  </w:num>
  <w:num w:numId="7">
    <w:abstractNumId w:val="1"/>
  </w:num>
  <w:num w:numId="8">
    <w:abstractNumId w:val="39"/>
  </w:num>
  <w:num w:numId="9">
    <w:abstractNumId w:val="19"/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3"/>
  </w:num>
  <w:num w:numId="23">
    <w:abstractNumId w:val="4"/>
  </w:num>
  <w:num w:numId="24">
    <w:abstractNumId w:val="11"/>
  </w:num>
  <w:num w:numId="25">
    <w:abstractNumId w:val="32"/>
  </w:num>
  <w:num w:numId="26">
    <w:abstractNumId w:val="3"/>
  </w:num>
  <w:num w:numId="27">
    <w:abstractNumId w:val="23"/>
  </w:num>
  <w:num w:numId="28">
    <w:abstractNumId w:val="37"/>
  </w:num>
  <w:num w:numId="29">
    <w:abstractNumId w:val="5"/>
  </w:num>
  <w:num w:numId="30">
    <w:abstractNumId w:val="7"/>
  </w:num>
  <w:num w:numId="31">
    <w:abstractNumId w:val="8"/>
  </w:num>
  <w:num w:numId="32">
    <w:abstractNumId w:val="12"/>
  </w:num>
  <w:num w:numId="33">
    <w:abstractNumId w:val="0"/>
  </w:num>
  <w:num w:numId="34">
    <w:abstractNumId w:val="30"/>
  </w:num>
  <w:num w:numId="35">
    <w:abstractNumId w:val="16"/>
  </w:num>
  <w:num w:numId="36">
    <w:abstractNumId w:val="18"/>
  </w:num>
  <w:num w:numId="37">
    <w:abstractNumId w:val="15"/>
  </w:num>
  <w:num w:numId="38">
    <w:abstractNumId w:val="38"/>
  </w:num>
  <w:num w:numId="39">
    <w:abstractNumId w:val="27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9" w:default="1">
    <w:name w:val="Normal"/>
    <w:qFormat/>
  </w:style>
  <w:style w:type="paragraph" w:styleId="760">
    <w:name w:val="Heading 1"/>
    <w:basedOn w:val="759"/>
    <w:next w:val="759"/>
    <w:link w:val="78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61">
    <w:name w:val="Heading 2"/>
    <w:basedOn w:val="759"/>
    <w:next w:val="759"/>
    <w:link w:val="78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62">
    <w:name w:val="Heading 3"/>
    <w:basedOn w:val="759"/>
    <w:next w:val="759"/>
    <w:link w:val="78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63">
    <w:name w:val="Heading 4"/>
    <w:basedOn w:val="759"/>
    <w:next w:val="759"/>
    <w:link w:val="79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64">
    <w:name w:val="Heading 5"/>
    <w:basedOn w:val="759"/>
    <w:next w:val="759"/>
    <w:link w:val="7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65">
    <w:name w:val="Heading 6"/>
    <w:basedOn w:val="759"/>
    <w:next w:val="759"/>
    <w:link w:val="79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66">
    <w:name w:val="Heading 7"/>
    <w:basedOn w:val="759"/>
    <w:next w:val="759"/>
    <w:link w:val="7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67">
    <w:name w:val="Heading 8"/>
    <w:basedOn w:val="759"/>
    <w:next w:val="759"/>
    <w:link w:val="79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68">
    <w:name w:val="Heading 9"/>
    <w:basedOn w:val="759"/>
    <w:next w:val="759"/>
    <w:link w:val="7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9" w:default="1">
    <w:name w:val="Default Paragraph Font"/>
    <w:uiPriority w:val="1"/>
    <w:semiHidden/>
    <w:unhideWhenUsed/>
  </w:style>
  <w:style w:type="table" w:styleId="77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1" w:default="1">
    <w:name w:val="No List"/>
    <w:uiPriority w:val="99"/>
    <w:semiHidden/>
    <w:unhideWhenUsed/>
  </w:style>
  <w:style w:type="character" w:styleId="772" w:customStyle="1">
    <w:name w:val="Heading 1 Char"/>
    <w:basedOn w:val="769"/>
    <w:uiPriority w:val="9"/>
    <w:rPr>
      <w:rFonts w:ascii="Arial" w:hAnsi="Arial" w:eastAsia="Arial" w:cs="Arial"/>
      <w:sz w:val="40"/>
      <w:szCs w:val="40"/>
    </w:rPr>
  </w:style>
  <w:style w:type="character" w:styleId="773" w:customStyle="1">
    <w:name w:val="Heading 2 Char"/>
    <w:basedOn w:val="769"/>
    <w:uiPriority w:val="9"/>
    <w:rPr>
      <w:rFonts w:ascii="Arial" w:hAnsi="Arial" w:eastAsia="Arial" w:cs="Arial"/>
      <w:sz w:val="34"/>
    </w:rPr>
  </w:style>
  <w:style w:type="character" w:styleId="774" w:customStyle="1">
    <w:name w:val="Heading 3 Char"/>
    <w:basedOn w:val="769"/>
    <w:uiPriority w:val="9"/>
    <w:rPr>
      <w:rFonts w:ascii="Arial" w:hAnsi="Arial" w:eastAsia="Arial" w:cs="Arial"/>
      <w:sz w:val="30"/>
      <w:szCs w:val="30"/>
    </w:rPr>
  </w:style>
  <w:style w:type="character" w:styleId="775" w:customStyle="1">
    <w:name w:val="Heading 4 Char"/>
    <w:basedOn w:val="769"/>
    <w:uiPriority w:val="9"/>
    <w:rPr>
      <w:rFonts w:ascii="Arial" w:hAnsi="Arial" w:eastAsia="Arial" w:cs="Arial"/>
      <w:b/>
      <w:bCs/>
      <w:sz w:val="26"/>
      <w:szCs w:val="26"/>
    </w:rPr>
  </w:style>
  <w:style w:type="character" w:styleId="776" w:customStyle="1">
    <w:name w:val="Heading 5 Char"/>
    <w:basedOn w:val="769"/>
    <w:uiPriority w:val="9"/>
    <w:rPr>
      <w:rFonts w:ascii="Arial" w:hAnsi="Arial" w:eastAsia="Arial" w:cs="Arial"/>
      <w:b/>
      <w:bCs/>
      <w:sz w:val="24"/>
      <w:szCs w:val="24"/>
    </w:rPr>
  </w:style>
  <w:style w:type="character" w:styleId="777" w:customStyle="1">
    <w:name w:val="Heading 6 Char"/>
    <w:basedOn w:val="769"/>
    <w:uiPriority w:val="9"/>
    <w:rPr>
      <w:rFonts w:ascii="Arial" w:hAnsi="Arial" w:eastAsia="Arial" w:cs="Arial"/>
      <w:b/>
      <w:bCs/>
      <w:sz w:val="22"/>
      <w:szCs w:val="22"/>
    </w:rPr>
  </w:style>
  <w:style w:type="character" w:styleId="778" w:customStyle="1">
    <w:name w:val="Heading 7 Char"/>
    <w:basedOn w:val="76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9" w:customStyle="1">
    <w:name w:val="Heading 8 Char"/>
    <w:basedOn w:val="769"/>
    <w:uiPriority w:val="9"/>
    <w:rPr>
      <w:rFonts w:ascii="Arial" w:hAnsi="Arial" w:eastAsia="Arial" w:cs="Arial"/>
      <w:i/>
      <w:iCs/>
      <w:sz w:val="22"/>
      <w:szCs w:val="22"/>
    </w:rPr>
  </w:style>
  <w:style w:type="character" w:styleId="780" w:customStyle="1">
    <w:name w:val="Heading 9 Char"/>
    <w:basedOn w:val="769"/>
    <w:uiPriority w:val="9"/>
    <w:rPr>
      <w:rFonts w:ascii="Arial" w:hAnsi="Arial" w:eastAsia="Arial" w:cs="Arial"/>
      <w:i/>
      <w:iCs/>
      <w:sz w:val="21"/>
      <w:szCs w:val="21"/>
    </w:rPr>
  </w:style>
  <w:style w:type="character" w:styleId="781" w:customStyle="1">
    <w:name w:val="Title Char"/>
    <w:basedOn w:val="769"/>
    <w:uiPriority w:val="10"/>
    <w:rPr>
      <w:sz w:val="48"/>
      <w:szCs w:val="48"/>
    </w:rPr>
  </w:style>
  <w:style w:type="character" w:styleId="782" w:customStyle="1">
    <w:name w:val="Subtitle Char"/>
    <w:basedOn w:val="769"/>
    <w:uiPriority w:val="11"/>
    <w:rPr>
      <w:sz w:val="24"/>
      <w:szCs w:val="24"/>
    </w:rPr>
  </w:style>
  <w:style w:type="character" w:styleId="783" w:customStyle="1">
    <w:name w:val="Quote Char"/>
    <w:uiPriority w:val="29"/>
    <w:rPr>
      <w:i/>
    </w:rPr>
  </w:style>
  <w:style w:type="character" w:styleId="784" w:customStyle="1">
    <w:name w:val="Intense Quote Char"/>
    <w:uiPriority w:val="30"/>
    <w:rPr>
      <w:i/>
    </w:rPr>
  </w:style>
  <w:style w:type="character" w:styleId="785" w:customStyle="1">
    <w:name w:val="Footnote Text Char"/>
    <w:uiPriority w:val="99"/>
    <w:rPr>
      <w:sz w:val="18"/>
    </w:rPr>
  </w:style>
  <w:style w:type="character" w:styleId="786" w:customStyle="1">
    <w:name w:val="Endnote Text Char"/>
    <w:uiPriority w:val="99"/>
    <w:rPr>
      <w:sz w:val="20"/>
    </w:rPr>
  </w:style>
  <w:style w:type="character" w:styleId="787" w:customStyle="1">
    <w:name w:val="Заголовок 1 Знак"/>
    <w:basedOn w:val="769"/>
    <w:link w:val="760"/>
    <w:uiPriority w:val="9"/>
    <w:rPr>
      <w:rFonts w:ascii="Arial" w:hAnsi="Arial" w:eastAsia="Arial" w:cs="Arial"/>
      <w:sz w:val="40"/>
      <w:szCs w:val="40"/>
    </w:rPr>
  </w:style>
  <w:style w:type="character" w:styleId="788" w:customStyle="1">
    <w:name w:val="Заголовок 2 Знак"/>
    <w:basedOn w:val="769"/>
    <w:link w:val="761"/>
    <w:uiPriority w:val="9"/>
    <w:rPr>
      <w:rFonts w:ascii="Arial" w:hAnsi="Arial" w:eastAsia="Arial" w:cs="Arial"/>
      <w:sz w:val="34"/>
    </w:rPr>
  </w:style>
  <w:style w:type="character" w:styleId="789" w:customStyle="1">
    <w:name w:val="Заголовок 3 Знак"/>
    <w:basedOn w:val="769"/>
    <w:link w:val="762"/>
    <w:uiPriority w:val="9"/>
    <w:rPr>
      <w:rFonts w:ascii="Arial" w:hAnsi="Arial" w:eastAsia="Arial" w:cs="Arial"/>
      <w:sz w:val="30"/>
      <w:szCs w:val="30"/>
    </w:rPr>
  </w:style>
  <w:style w:type="character" w:styleId="790" w:customStyle="1">
    <w:name w:val="Заголовок 4 Знак"/>
    <w:basedOn w:val="769"/>
    <w:link w:val="763"/>
    <w:uiPriority w:val="9"/>
    <w:rPr>
      <w:rFonts w:ascii="Arial" w:hAnsi="Arial" w:eastAsia="Arial" w:cs="Arial"/>
      <w:b/>
      <w:bCs/>
      <w:sz w:val="26"/>
      <w:szCs w:val="26"/>
    </w:rPr>
  </w:style>
  <w:style w:type="character" w:styleId="791" w:customStyle="1">
    <w:name w:val="Заголовок 5 Знак"/>
    <w:basedOn w:val="769"/>
    <w:link w:val="764"/>
    <w:uiPriority w:val="9"/>
    <w:rPr>
      <w:rFonts w:ascii="Arial" w:hAnsi="Arial" w:eastAsia="Arial" w:cs="Arial"/>
      <w:b/>
      <w:bCs/>
      <w:sz w:val="24"/>
      <w:szCs w:val="24"/>
    </w:rPr>
  </w:style>
  <w:style w:type="character" w:styleId="792" w:customStyle="1">
    <w:name w:val="Заголовок 6 Знак"/>
    <w:basedOn w:val="769"/>
    <w:link w:val="765"/>
    <w:uiPriority w:val="9"/>
    <w:rPr>
      <w:rFonts w:ascii="Arial" w:hAnsi="Arial" w:eastAsia="Arial" w:cs="Arial"/>
      <w:b/>
      <w:bCs/>
      <w:sz w:val="22"/>
      <w:szCs w:val="22"/>
    </w:rPr>
  </w:style>
  <w:style w:type="character" w:styleId="793" w:customStyle="1">
    <w:name w:val="Заголовок 7 Знак"/>
    <w:basedOn w:val="769"/>
    <w:link w:val="7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4" w:customStyle="1">
    <w:name w:val="Заголовок 8 Знак"/>
    <w:basedOn w:val="769"/>
    <w:link w:val="767"/>
    <w:uiPriority w:val="9"/>
    <w:rPr>
      <w:rFonts w:ascii="Arial" w:hAnsi="Arial" w:eastAsia="Arial" w:cs="Arial"/>
      <w:i/>
      <w:iCs/>
      <w:sz w:val="22"/>
      <w:szCs w:val="22"/>
    </w:rPr>
  </w:style>
  <w:style w:type="character" w:styleId="795" w:customStyle="1">
    <w:name w:val="Заголовок 9 Знак"/>
    <w:basedOn w:val="769"/>
    <w:link w:val="768"/>
    <w:uiPriority w:val="9"/>
    <w:rPr>
      <w:rFonts w:ascii="Arial" w:hAnsi="Arial" w:eastAsia="Arial" w:cs="Arial"/>
      <w:i/>
      <w:iCs/>
      <w:sz w:val="21"/>
      <w:szCs w:val="21"/>
    </w:rPr>
  </w:style>
  <w:style w:type="paragraph" w:styleId="796">
    <w:name w:val="No Spacing"/>
    <w:uiPriority w:val="1"/>
    <w:qFormat/>
    <w:pPr>
      <w:spacing w:after="0" w:line="240" w:lineRule="auto"/>
    </w:pPr>
  </w:style>
  <w:style w:type="paragraph" w:styleId="797">
    <w:name w:val="Title"/>
    <w:basedOn w:val="759"/>
    <w:next w:val="759"/>
    <w:link w:val="7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8" w:customStyle="1">
    <w:name w:val="Заголовок Знак"/>
    <w:basedOn w:val="769"/>
    <w:link w:val="797"/>
    <w:uiPriority w:val="10"/>
    <w:rPr>
      <w:sz w:val="48"/>
      <w:szCs w:val="48"/>
    </w:rPr>
  </w:style>
  <w:style w:type="paragraph" w:styleId="799">
    <w:name w:val="Subtitle"/>
    <w:basedOn w:val="759"/>
    <w:next w:val="759"/>
    <w:link w:val="800"/>
    <w:uiPriority w:val="11"/>
    <w:qFormat/>
    <w:pPr>
      <w:spacing w:before="200" w:after="200"/>
    </w:pPr>
    <w:rPr>
      <w:sz w:val="24"/>
      <w:szCs w:val="24"/>
    </w:rPr>
  </w:style>
  <w:style w:type="character" w:styleId="800" w:customStyle="1">
    <w:name w:val="Подзаголовок Знак"/>
    <w:basedOn w:val="769"/>
    <w:link w:val="799"/>
    <w:uiPriority w:val="11"/>
    <w:rPr>
      <w:sz w:val="24"/>
      <w:szCs w:val="24"/>
    </w:rPr>
  </w:style>
  <w:style w:type="paragraph" w:styleId="801">
    <w:name w:val="Quote"/>
    <w:basedOn w:val="759"/>
    <w:next w:val="759"/>
    <w:link w:val="802"/>
    <w:uiPriority w:val="29"/>
    <w:qFormat/>
    <w:pPr>
      <w:ind w:left="720" w:right="720"/>
    </w:pPr>
    <w:rPr>
      <w:i/>
    </w:rPr>
  </w:style>
  <w:style w:type="character" w:styleId="802" w:customStyle="1">
    <w:name w:val="Цитата 2 Знак"/>
    <w:link w:val="801"/>
    <w:uiPriority w:val="29"/>
    <w:rPr>
      <w:i/>
    </w:rPr>
  </w:style>
  <w:style w:type="paragraph" w:styleId="803">
    <w:name w:val="Intense Quote"/>
    <w:basedOn w:val="759"/>
    <w:next w:val="759"/>
    <w:link w:val="80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4" w:customStyle="1">
    <w:name w:val="Выделенная цитата Знак"/>
    <w:link w:val="803"/>
    <w:uiPriority w:val="30"/>
    <w:rPr>
      <w:i/>
    </w:rPr>
  </w:style>
  <w:style w:type="character" w:styleId="805" w:customStyle="1">
    <w:name w:val="Header Char"/>
    <w:basedOn w:val="769"/>
    <w:uiPriority w:val="99"/>
  </w:style>
  <w:style w:type="character" w:styleId="806" w:customStyle="1">
    <w:name w:val="Footer Char"/>
    <w:basedOn w:val="769"/>
    <w:uiPriority w:val="99"/>
  </w:style>
  <w:style w:type="paragraph" w:styleId="807">
    <w:name w:val="Caption"/>
    <w:basedOn w:val="759"/>
    <w:next w:val="759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808" w:customStyle="1">
    <w:name w:val="Caption Char"/>
    <w:uiPriority w:val="99"/>
  </w:style>
  <w:style w:type="table" w:styleId="809">
    <w:name w:val="Table Grid"/>
    <w:basedOn w:val="77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10" w:customStyle="1">
    <w:name w:val="Table Grid Light"/>
    <w:basedOn w:val="77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11">
    <w:name w:val="Plain Table 1"/>
    <w:basedOn w:val="77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2">
    <w:name w:val="Plain Table 2"/>
    <w:basedOn w:val="77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3">
    <w:name w:val="Plain Table 3"/>
    <w:basedOn w:val="7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4">
    <w:name w:val="Plain Table 4"/>
    <w:basedOn w:val="7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Plain Table 5"/>
    <w:basedOn w:val="7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6">
    <w:name w:val="Grid Table 1 Light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Grid Table 1 Light - Accent 1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Grid Table 1 Light - Accent 2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Grid Table 1 Light - Accent 3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Grid Table 1 Light - Accent 4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Grid Table 1 Light - Accent 5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Grid Table 1 Light - Accent 6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Grid Table 2"/>
    <w:basedOn w:val="7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2 - Accent 1"/>
    <w:basedOn w:val="7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2 - Accent 2"/>
    <w:basedOn w:val="7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2 - Accent 3"/>
    <w:basedOn w:val="7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2 - Accent 4"/>
    <w:basedOn w:val="7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2 - Accent 5"/>
    <w:basedOn w:val="7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2 - Accent 6"/>
    <w:basedOn w:val="7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3"/>
    <w:basedOn w:val="7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3 - Accent 1"/>
    <w:basedOn w:val="7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3 - Accent 2"/>
    <w:basedOn w:val="7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3 - Accent 3"/>
    <w:basedOn w:val="7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3 - Accent 4"/>
    <w:basedOn w:val="7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3 - Accent 5"/>
    <w:basedOn w:val="7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3 - Accent 6"/>
    <w:basedOn w:val="7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4"/>
    <w:basedOn w:val="77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8" w:customStyle="1">
    <w:name w:val="Grid Table 4 - Accent 1"/>
    <w:basedOn w:val="77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839" w:customStyle="1">
    <w:name w:val="Grid Table 4 - Accent 2"/>
    <w:basedOn w:val="77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40" w:customStyle="1">
    <w:name w:val="Grid Table 4 - Accent 3"/>
    <w:basedOn w:val="77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41" w:customStyle="1">
    <w:name w:val="Grid Table 4 - Accent 4"/>
    <w:basedOn w:val="77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42" w:customStyle="1">
    <w:name w:val="Grid Table 4 - Accent 5"/>
    <w:basedOn w:val="77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843" w:customStyle="1">
    <w:name w:val="Grid Table 4 - Accent 6"/>
    <w:basedOn w:val="77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44">
    <w:name w:val="Grid Table 5 Dark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5" w:customStyle="1">
    <w:name w:val="Grid Table 5 Dark- Accent 1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846" w:customStyle="1">
    <w:name w:val="Grid Table 5 Dark - Accent 2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47" w:customStyle="1">
    <w:name w:val="Grid Table 5 Dark - Accent 3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48" w:customStyle="1">
    <w:name w:val="Grid Table 5 Dark- Accent 4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49" w:customStyle="1">
    <w:name w:val="Grid Table 5 Dark - Accent 5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850" w:customStyle="1">
    <w:name w:val="Grid Table 5 Dark - Accent 6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51">
    <w:name w:val="Grid Table 6 Colorful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52" w:customStyle="1">
    <w:name w:val="Grid Table 6 Colorful - Accent 1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853" w:customStyle="1">
    <w:name w:val="Grid Table 6 Colorful - Accent 2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54" w:customStyle="1">
    <w:name w:val="Grid Table 6 Colorful - Accent 3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55" w:customStyle="1">
    <w:name w:val="Grid Table 6 Colorful - Accent 4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56" w:customStyle="1">
    <w:name w:val="Grid Table 6 Colorful - Accent 5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57" w:customStyle="1">
    <w:name w:val="Grid Table 6 Colorful - Accent 6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58">
    <w:name w:val="Grid Table 7 Colorful"/>
    <w:basedOn w:val="7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7 Colorful - Accent 1"/>
    <w:basedOn w:val="7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7 Colorful - Accent 2"/>
    <w:basedOn w:val="7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7 Colorful - Accent 3"/>
    <w:basedOn w:val="7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7 Colorful - Accent 4"/>
    <w:basedOn w:val="7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7 Colorful - Accent 5"/>
    <w:basedOn w:val="7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7 Colorful - Accent 6"/>
    <w:basedOn w:val="7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List Table 1 Light"/>
    <w:basedOn w:val="7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1 Light - Accent 1"/>
    <w:basedOn w:val="7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1 Light - Accent 2"/>
    <w:basedOn w:val="7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1 Light - Accent 3"/>
    <w:basedOn w:val="7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1 Light - Accent 4"/>
    <w:basedOn w:val="7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1 Light - Accent 5"/>
    <w:basedOn w:val="7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1 Light - Accent 6"/>
    <w:basedOn w:val="7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List Table 2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3" w:customStyle="1">
    <w:name w:val="List Table 2 - Accent 1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874" w:customStyle="1">
    <w:name w:val="List Table 2 - Accent 2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75" w:customStyle="1">
    <w:name w:val="List Table 2 - Accent 3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76" w:customStyle="1">
    <w:name w:val="List Table 2 - Accent 4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77" w:customStyle="1">
    <w:name w:val="List Table 2 - Accent 5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878" w:customStyle="1">
    <w:name w:val="List Table 2 - Accent 6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79">
    <w:name w:val="List Table 3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3 - Accent 1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3 - Accent 2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3 - Accent 3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3 - Accent 4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3 - Accent 5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3 - Accent 6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4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4 - Accent 1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4 - Accent 2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4 - Accent 3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4 - Accent 4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4 - Accent 5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4 - Accent 6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5 Dark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4" w:customStyle="1">
    <w:name w:val="List Table 5 Dark - Accent 1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5" w:customStyle="1">
    <w:name w:val="List Table 5 Dark - Accent 2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6" w:customStyle="1">
    <w:name w:val="List Table 5 Dark - Accent 3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7" w:customStyle="1">
    <w:name w:val="List Table 5 Dark - Accent 4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8" w:customStyle="1">
    <w:name w:val="List Table 5 Dark - Accent 5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9" w:customStyle="1">
    <w:name w:val="List Table 5 Dark - Accent 6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0">
    <w:name w:val="List Table 6 Colorful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01" w:customStyle="1">
    <w:name w:val="List Table 6 Colorful - Accent 1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902" w:customStyle="1">
    <w:name w:val="List Table 6 Colorful - Accent 2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903" w:customStyle="1">
    <w:name w:val="List Table 6 Colorful - Accent 3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904" w:customStyle="1">
    <w:name w:val="List Table 6 Colorful - Accent 4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905" w:customStyle="1">
    <w:name w:val="List Table 6 Colorful - Accent 5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906" w:customStyle="1">
    <w:name w:val="List Table 6 Colorful - Accent 6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907">
    <w:name w:val="List Table 7 Colorful"/>
    <w:basedOn w:val="77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List Table 7 Colorful - Accent 1"/>
    <w:basedOn w:val="77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List Table 7 Colorful - Accent 2"/>
    <w:basedOn w:val="77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List Table 7 Colorful - Accent 3"/>
    <w:basedOn w:val="77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List Table 7 Colorful - Accent 4"/>
    <w:basedOn w:val="77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List Table 7 Colorful - Accent 5"/>
    <w:basedOn w:val="77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 w:customStyle="1">
    <w:name w:val="List Table 7 Colorful - Accent 6"/>
    <w:basedOn w:val="77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 w:customStyle="1">
    <w:name w:val="Lined - Accent"/>
    <w:basedOn w:val="770"/>
    <w:uiPriority w:val="99"/>
    <w:pPr>
      <w:spacing w:after="0" w:line="240" w:lineRule="auto"/>
    </w:pPr>
    <w:rPr>
      <w:color w:val="404040"/>
      <w:sz w:val="20"/>
      <w:szCs w:val="20"/>
      <w:lang w:eastAsia="zh-CN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5" w:customStyle="1">
    <w:name w:val="Lined - Accent 1"/>
    <w:basedOn w:val="770"/>
    <w:uiPriority w:val="99"/>
    <w:pPr>
      <w:spacing w:after="0" w:line="240" w:lineRule="auto"/>
    </w:pPr>
    <w:rPr>
      <w:color w:val="404040"/>
      <w:sz w:val="20"/>
      <w:szCs w:val="20"/>
      <w:lang w:eastAsia="zh-CN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916" w:customStyle="1">
    <w:name w:val="Lined - Accent 2"/>
    <w:basedOn w:val="770"/>
    <w:uiPriority w:val="99"/>
    <w:pPr>
      <w:spacing w:after="0" w:line="240" w:lineRule="auto"/>
    </w:pPr>
    <w:rPr>
      <w:color w:val="404040"/>
      <w:sz w:val="20"/>
      <w:szCs w:val="20"/>
      <w:lang w:eastAsia="zh-CN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17" w:customStyle="1">
    <w:name w:val="Lined - Accent 3"/>
    <w:basedOn w:val="770"/>
    <w:uiPriority w:val="99"/>
    <w:pPr>
      <w:spacing w:after="0" w:line="240" w:lineRule="auto"/>
    </w:pPr>
    <w:rPr>
      <w:color w:val="404040"/>
      <w:sz w:val="20"/>
      <w:szCs w:val="20"/>
      <w:lang w:eastAsia="zh-CN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18" w:customStyle="1">
    <w:name w:val="Lined - Accent 4"/>
    <w:basedOn w:val="770"/>
    <w:uiPriority w:val="99"/>
    <w:pPr>
      <w:spacing w:after="0" w:line="240" w:lineRule="auto"/>
    </w:pPr>
    <w:rPr>
      <w:color w:val="404040"/>
      <w:sz w:val="20"/>
      <w:szCs w:val="20"/>
      <w:lang w:eastAsia="zh-CN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19" w:customStyle="1">
    <w:name w:val="Lined - Accent 5"/>
    <w:basedOn w:val="770"/>
    <w:uiPriority w:val="99"/>
    <w:pPr>
      <w:spacing w:after="0" w:line="240" w:lineRule="auto"/>
    </w:pPr>
    <w:rPr>
      <w:color w:val="404040"/>
      <w:sz w:val="20"/>
      <w:szCs w:val="20"/>
      <w:lang w:eastAsia="zh-CN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920" w:customStyle="1">
    <w:name w:val="Lined - Accent 6"/>
    <w:basedOn w:val="770"/>
    <w:uiPriority w:val="99"/>
    <w:pPr>
      <w:spacing w:after="0" w:line="240" w:lineRule="auto"/>
    </w:pPr>
    <w:rPr>
      <w:color w:val="404040"/>
      <w:sz w:val="20"/>
      <w:szCs w:val="20"/>
      <w:lang w:eastAsia="zh-CN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21" w:customStyle="1">
    <w:name w:val="Bordered &amp; Lined - Accent"/>
    <w:basedOn w:val="770"/>
    <w:uiPriority w:val="99"/>
    <w:pPr>
      <w:spacing w:after="0" w:line="240" w:lineRule="auto"/>
    </w:pPr>
    <w:rPr>
      <w:color w:val="404040"/>
      <w:sz w:val="20"/>
      <w:szCs w:val="20"/>
      <w:lang w:eastAsia="zh-CN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2" w:customStyle="1">
    <w:name w:val="Bordered &amp; Lined - Accent 1"/>
    <w:basedOn w:val="770"/>
    <w:uiPriority w:val="99"/>
    <w:pPr>
      <w:spacing w:after="0" w:line="240" w:lineRule="auto"/>
    </w:pPr>
    <w:rPr>
      <w:color w:val="404040"/>
      <w:sz w:val="20"/>
      <w:szCs w:val="20"/>
      <w:lang w:eastAsia="zh-CN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923" w:customStyle="1">
    <w:name w:val="Bordered &amp; Lined - Accent 2"/>
    <w:basedOn w:val="770"/>
    <w:uiPriority w:val="99"/>
    <w:pPr>
      <w:spacing w:after="0" w:line="240" w:lineRule="auto"/>
    </w:pPr>
    <w:rPr>
      <w:color w:val="404040"/>
      <w:sz w:val="20"/>
      <w:szCs w:val="20"/>
      <w:lang w:eastAsia="zh-CN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24" w:customStyle="1">
    <w:name w:val="Bordered &amp; Lined - Accent 3"/>
    <w:basedOn w:val="770"/>
    <w:uiPriority w:val="99"/>
    <w:pPr>
      <w:spacing w:after="0" w:line="240" w:lineRule="auto"/>
    </w:pPr>
    <w:rPr>
      <w:color w:val="404040"/>
      <w:sz w:val="20"/>
      <w:szCs w:val="20"/>
      <w:lang w:eastAsia="zh-CN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25" w:customStyle="1">
    <w:name w:val="Bordered &amp; Lined - Accent 4"/>
    <w:basedOn w:val="770"/>
    <w:uiPriority w:val="99"/>
    <w:pPr>
      <w:spacing w:after="0" w:line="240" w:lineRule="auto"/>
    </w:pPr>
    <w:rPr>
      <w:color w:val="404040"/>
      <w:sz w:val="20"/>
      <w:szCs w:val="20"/>
      <w:lang w:eastAsia="zh-CN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26" w:customStyle="1">
    <w:name w:val="Bordered &amp; Lined - Accent 5"/>
    <w:basedOn w:val="770"/>
    <w:uiPriority w:val="99"/>
    <w:pPr>
      <w:spacing w:after="0" w:line="240" w:lineRule="auto"/>
    </w:pPr>
    <w:rPr>
      <w:color w:val="404040"/>
      <w:sz w:val="20"/>
      <w:szCs w:val="20"/>
      <w:lang w:eastAsia="zh-CN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927" w:customStyle="1">
    <w:name w:val="Bordered &amp; Lined - Accent 6"/>
    <w:basedOn w:val="770"/>
    <w:uiPriority w:val="99"/>
    <w:pPr>
      <w:spacing w:after="0" w:line="240" w:lineRule="auto"/>
    </w:pPr>
    <w:rPr>
      <w:color w:val="404040"/>
      <w:sz w:val="20"/>
      <w:szCs w:val="20"/>
      <w:lang w:eastAsia="zh-CN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28" w:customStyle="1">
    <w:name w:val="Bordered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29" w:customStyle="1">
    <w:name w:val="Bordered - Accent 1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930" w:customStyle="1">
    <w:name w:val="Bordered - Accent 2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31" w:customStyle="1">
    <w:name w:val="Bordered - Accent 3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32" w:customStyle="1">
    <w:name w:val="Bordered - Accent 4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33" w:customStyle="1">
    <w:name w:val="Bordered - Accent 5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934" w:customStyle="1">
    <w:name w:val="Bordered - Accent 6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35">
    <w:name w:val="Hyperlink"/>
    <w:uiPriority w:val="99"/>
    <w:unhideWhenUsed/>
    <w:rPr>
      <w:color w:val="0563c1" w:themeColor="hyperlink"/>
      <w:u w:val="single"/>
    </w:rPr>
  </w:style>
  <w:style w:type="paragraph" w:styleId="936">
    <w:name w:val="footnote text"/>
    <w:basedOn w:val="759"/>
    <w:link w:val="937"/>
    <w:uiPriority w:val="99"/>
    <w:semiHidden/>
    <w:unhideWhenUsed/>
    <w:pPr>
      <w:spacing w:after="40" w:line="240" w:lineRule="auto"/>
    </w:pPr>
    <w:rPr>
      <w:sz w:val="18"/>
    </w:rPr>
  </w:style>
  <w:style w:type="character" w:styleId="937" w:customStyle="1">
    <w:name w:val="Текст сноски Знак"/>
    <w:link w:val="936"/>
    <w:uiPriority w:val="99"/>
    <w:rPr>
      <w:sz w:val="18"/>
    </w:rPr>
  </w:style>
  <w:style w:type="character" w:styleId="938">
    <w:name w:val="footnote reference"/>
    <w:basedOn w:val="769"/>
    <w:uiPriority w:val="99"/>
    <w:unhideWhenUsed/>
    <w:rPr>
      <w:vertAlign w:val="superscript"/>
    </w:rPr>
  </w:style>
  <w:style w:type="paragraph" w:styleId="939">
    <w:name w:val="endnote text"/>
    <w:basedOn w:val="759"/>
    <w:link w:val="940"/>
    <w:uiPriority w:val="99"/>
    <w:semiHidden/>
    <w:unhideWhenUsed/>
    <w:pPr>
      <w:spacing w:after="0" w:line="240" w:lineRule="auto"/>
    </w:pPr>
    <w:rPr>
      <w:sz w:val="20"/>
    </w:rPr>
  </w:style>
  <w:style w:type="character" w:styleId="940" w:customStyle="1">
    <w:name w:val="Текст концевой сноски Знак"/>
    <w:link w:val="939"/>
    <w:uiPriority w:val="99"/>
    <w:rPr>
      <w:sz w:val="20"/>
    </w:rPr>
  </w:style>
  <w:style w:type="character" w:styleId="941">
    <w:name w:val="endnote reference"/>
    <w:basedOn w:val="769"/>
    <w:uiPriority w:val="99"/>
    <w:semiHidden/>
    <w:unhideWhenUsed/>
    <w:rPr>
      <w:vertAlign w:val="superscript"/>
    </w:rPr>
  </w:style>
  <w:style w:type="paragraph" w:styleId="942">
    <w:name w:val="toc 1"/>
    <w:basedOn w:val="759"/>
    <w:next w:val="759"/>
    <w:uiPriority w:val="39"/>
    <w:unhideWhenUsed/>
    <w:pPr>
      <w:spacing w:after="57"/>
    </w:pPr>
  </w:style>
  <w:style w:type="paragraph" w:styleId="943">
    <w:name w:val="toc 2"/>
    <w:basedOn w:val="759"/>
    <w:next w:val="759"/>
    <w:uiPriority w:val="39"/>
    <w:unhideWhenUsed/>
    <w:pPr>
      <w:ind w:left="283"/>
      <w:spacing w:after="57"/>
    </w:pPr>
  </w:style>
  <w:style w:type="paragraph" w:styleId="944">
    <w:name w:val="toc 3"/>
    <w:basedOn w:val="759"/>
    <w:next w:val="759"/>
    <w:uiPriority w:val="39"/>
    <w:unhideWhenUsed/>
    <w:pPr>
      <w:ind w:left="567"/>
      <w:spacing w:after="57"/>
    </w:pPr>
  </w:style>
  <w:style w:type="paragraph" w:styleId="945">
    <w:name w:val="toc 4"/>
    <w:basedOn w:val="759"/>
    <w:next w:val="759"/>
    <w:uiPriority w:val="39"/>
    <w:unhideWhenUsed/>
    <w:pPr>
      <w:ind w:left="850"/>
      <w:spacing w:after="57"/>
    </w:pPr>
  </w:style>
  <w:style w:type="paragraph" w:styleId="946">
    <w:name w:val="toc 5"/>
    <w:basedOn w:val="759"/>
    <w:next w:val="759"/>
    <w:uiPriority w:val="39"/>
    <w:unhideWhenUsed/>
    <w:pPr>
      <w:ind w:left="1134"/>
      <w:spacing w:after="57"/>
    </w:pPr>
  </w:style>
  <w:style w:type="paragraph" w:styleId="947">
    <w:name w:val="toc 6"/>
    <w:basedOn w:val="759"/>
    <w:next w:val="759"/>
    <w:uiPriority w:val="39"/>
    <w:unhideWhenUsed/>
    <w:pPr>
      <w:ind w:left="1417"/>
      <w:spacing w:after="57"/>
    </w:pPr>
  </w:style>
  <w:style w:type="paragraph" w:styleId="948">
    <w:name w:val="toc 7"/>
    <w:basedOn w:val="759"/>
    <w:next w:val="759"/>
    <w:uiPriority w:val="39"/>
    <w:unhideWhenUsed/>
    <w:pPr>
      <w:ind w:left="1701"/>
      <w:spacing w:after="57"/>
    </w:pPr>
  </w:style>
  <w:style w:type="paragraph" w:styleId="949">
    <w:name w:val="toc 8"/>
    <w:basedOn w:val="759"/>
    <w:next w:val="759"/>
    <w:uiPriority w:val="39"/>
    <w:unhideWhenUsed/>
    <w:pPr>
      <w:ind w:left="1984"/>
      <w:spacing w:after="57"/>
    </w:pPr>
  </w:style>
  <w:style w:type="paragraph" w:styleId="950">
    <w:name w:val="toc 9"/>
    <w:basedOn w:val="759"/>
    <w:next w:val="759"/>
    <w:uiPriority w:val="39"/>
    <w:unhideWhenUsed/>
    <w:pPr>
      <w:ind w:left="2268"/>
      <w:spacing w:after="57"/>
    </w:pPr>
  </w:style>
  <w:style w:type="paragraph" w:styleId="951">
    <w:name w:val="TOC Heading"/>
    <w:uiPriority w:val="39"/>
    <w:unhideWhenUsed/>
  </w:style>
  <w:style w:type="paragraph" w:styleId="952">
    <w:name w:val="table of figures"/>
    <w:basedOn w:val="759"/>
    <w:next w:val="759"/>
    <w:uiPriority w:val="99"/>
    <w:unhideWhenUsed/>
    <w:pPr>
      <w:spacing w:after="0"/>
    </w:pPr>
  </w:style>
  <w:style w:type="paragraph" w:styleId="953">
    <w:name w:val="Footer"/>
    <w:basedOn w:val="759"/>
    <w:link w:val="95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54" w:customStyle="1">
    <w:name w:val="Нижний колонтитул Знак"/>
    <w:basedOn w:val="769"/>
    <w:link w:val="953"/>
    <w:uiPriority w:val="99"/>
  </w:style>
  <w:style w:type="paragraph" w:styleId="955">
    <w:name w:val="Body Text"/>
    <w:basedOn w:val="759"/>
    <w:link w:val="956"/>
    <w:uiPriority w:val="99"/>
    <w:unhideWhenUsed/>
    <w:pPr>
      <w:spacing w:after="120"/>
    </w:pPr>
  </w:style>
  <w:style w:type="character" w:styleId="956" w:customStyle="1">
    <w:name w:val="Основной текст Знак"/>
    <w:basedOn w:val="769"/>
    <w:link w:val="955"/>
    <w:uiPriority w:val="99"/>
  </w:style>
  <w:style w:type="paragraph" w:styleId="957">
    <w:name w:val="Header"/>
    <w:basedOn w:val="759"/>
    <w:link w:val="95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58" w:customStyle="1">
    <w:name w:val="Верхний колонтитул Знак"/>
    <w:basedOn w:val="769"/>
    <w:link w:val="957"/>
    <w:uiPriority w:val="99"/>
  </w:style>
  <w:style w:type="paragraph" w:styleId="959">
    <w:name w:val="List Paragraph"/>
    <w:basedOn w:val="759"/>
    <w:link w:val="964"/>
    <w:uiPriority w:val="34"/>
    <w:qFormat/>
    <w:pPr>
      <w:contextualSpacing/>
      <w:ind w:left="720"/>
    </w:pPr>
  </w:style>
  <w:style w:type="paragraph" w:styleId="960" w:customStyle="1">
    <w:name w:val="docdata"/>
    <w:basedOn w:val="75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  <w14:ligatures w14:val="none"/>
    </w:rPr>
  </w:style>
  <w:style w:type="paragraph" w:styleId="961">
    <w:name w:val="Normal (Web)"/>
    <w:basedOn w:val="759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  <w14:ligatures w14:val="none"/>
    </w:rPr>
  </w:style>
  <w:style w:type="paragraph" w:styleId="962">
    <w:name w:val="Body Text 2"/>
    <w:basedOn w:val="759"/>
    <w:link w:val="963"/>
    <w:semiHidden/>
    <w:unhideWhenUsed/>
    <w:pPr>
      <w:spacing w:after="120" w:line="480" w:lineRule="auto"/>
    </w:pPr>
    <w:rPr>
      <w:rFonts w:ascii="Calibri" w:hAnsi="Calibri" w:eastAsia="Times New Roman" w:cs="Times New Roman"/>
      <w:color w:val="000000"/>
      <w:szCs w:val="20"/>
      <w:lang w:eastAsia="ru-RU"/>
      <w14:ligatures w14:val="none"/>
    </w:rPr>
  </w:style>
  <w:style w:type="character" w:styleId="963" w:customStyle="1">
    <w:name w:val="Основной текст 2 Знак"/>
    <w:basedOn w:val="769"/>
    <w:link w:val="962"/>
    <w:semiHidden/>
    <w:rPr>
      <w:rFonts w:ascii="Calibri" w:hAnsi="Calibri" w:eastAsia="Times New Roman" w:cs="Times New Roman"/>
      <w:color w:val="000000"/>
      <w:szCs w:val="20"/>
      <w:lang w:eastAsia="ru-RU"/>
      <w14:ligatures w14:val="none"/>
    </w:rPr>
  </w:style>
  <w:style w:type="character" w:styleId="964" w:customStyle="1">
    <w:name w:val="Абзац списка Знак"/>
    <w:basedOn w:val="769"/>
    <w:link w:val="959"/>
  </w:style>
  <w:style w:type="paragraph" w:styleId="965" w:customStyle="1">
    <w:name w:val="Style5"/>
    <w:basedOn w:val="759"/>
    <w:pPr>
      <w:ind w:firstLine="713"/>
      <w:jc w:val="both"/>
      <w:spacing w:after="0" w:line="328" w:lineRule="exact"/>
      <w:widowControl w:val="off"/>
    </w:pPr>
    <w:rPr>
      <w:rFonts w:ascii="Times New Roman" w:hAnsi="Times New Roman" w:eastAsia="Times New Roman" w:cs="Times New Roman"/>
      <w:color w:val="000000"/>
      <w:sz w:val="24"/>
      <w:szCs w:val="20"/>
      <w:lang w:eastAsia="ru-RU"/>
      <w14:ligatures w14:val="none"/>
    </w:rPr>
  </w:style>
  <w:style w:type="paragraph" w:styleId="966" w:customStyle="1">
    <w:name w:val="Основной текст (5)"/>
    <w:basedOn w:val="759"/>
    <w:pPr>
      <w:spacing w:after="0" w:line="240" w:lineRule="atLeast"/>
    </w:pPr>
    <w:rPr>
      <w:rFonts w:ascii="Times New Roman" w:hAnsi="Times New Roman" w:eastAsia="Times New Roman" w:cs="Times New Roman"/>
      <w:color w:val="000000"/>
      <w:sz w:val="20"/>
      <w:szCs w:val="20"/>
      <w:lang w:eastAsia="ru-RU"/>
      <w14:ligatures w14:val="none"/>
    </w:rPr>
  </w:style>
  <w:style w:type="character" w:styleId="967">
    <w:name w:val="Unresolved Mention"/>
    <w:basedOn w:val="769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V</dc:creator>
  <cp:keywords/>
  <dc:description/>
  <cp:revision>27</cp:revision>
  <dcterms:created xsi:type="dcterms:W3CDTF">2023-11-16T08:35:00Z</dcterms:created>
  <dcterms:modified xsi:type="dcterms:W3CDTF">2025-01-24T15:38:53Z</dcterms:modified>
</cp:coreProperties>
</file>