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60" w:after="144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before="60" w:after="144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Учебно-тематический план дополнительной профессиональной программы АНО Научно-исследовательский «Центр развития энергетического права и современной правовой науки имени В. А. Мусина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23"/>
        <w:numPr>
          <w:ilvl w:val="0"/>
          <w:numId w:val="0"/>
        </w:numPr>
        <w:jc w:val="center"/>
        <w:spacing w:before="60" w:after="144" w:line="240" w:lineRule="auto"/>
        <w:rPr>
          <w:b w:val="0"/>
          <w:sz w:val="26"/>
          <w:szCs w:val="26"/>
        </w:rPr>
        <w:pBdr>
          <w:top w:val="single" w:color="000000" w:sz="4" w:space="1"/>
        </w:pBdr>
      </w:pPr>
      <w:r/>
      <w:bookmarkStart w:id="0" w:name="_Toc296511667"/>
      <w:r/>
      <w:bookmarkStart w:id="1" w:name="_Toc296511869"/>
      <w:r/>
      <w:bookmarkStart w:id="2" w:name="_Toc296512045"/>
      <w:r/>
      <w:bookmarkStart w:id="3" w:name="_Toc296512122"/>
      <w:r/>
      <w:bookmarkStart w:id="4" w:name="_Toc296516890"/>
      <w:r/>
      <w:bookmarkStart w:id="5" w:name="_Toc296525006"/>
      <w:r/>
      <w:bookmarkStart w:id="6" w:name="_Toc296584754"/>
      <w:r>
        <w:rPr>
          <w:b w:val="0"/>
          <w:sz w:val="26"/>
          <w:szCs w:val="26"/>
        </w:rPr>
        <w:t xml:space="preserve">наименование образовательной </w:t>
      </w:r>
      <w:bookmarkEnd w:id="0"/>
      <w:r/>
      <w:bookmarkEnd w:id="1"/>
      <w:r/>
      <w:bookmarkEnd w:id="2"/>
      <w:r/>
      <w:bookmarkEnd w:id="3"/>
      <w:r/>
      <w:bookmarkEnd w:id="4"/>
      <w:r/>
      <w:bookmarkEnd w:id="5"/>
      <w:r/>
      <w:bookmarkEnd w:id="6"/>
      <w:r>
        <w:rPr>
          <w:b w:val="0"/>
          <w:sz w:val="26"/>
          <w:szCs w:val="26"/>
        </w:rPr>
        <w:t xml:space="preserve">организации</w:t>
      </w:r>
      <w:r>
        <w:rPr>
          <w:b w:val="0"/>
          <w:sz w:val="26"/>
          <w:szCs w:val="26"/>
        </w:rPr>
      </w:r>
    </w:p>
    <w:p>
      <w:pPr>
        <w:spacing w:before="60" w:after="144" w:line="240" w:lineRule="auto"/>
        <w:rPr>
          <w:rFonts w:ascii="Times New Roman" w:hAnsi="Times New Roman"/>
          <w:sz w:val="8"/>
          <w:szCs w:val="28"/>
        </w:rPr>
      </w:pPr>
      <w:r>
        <w:rPr>
          <w:rFonts w:ascii="Times New Roman" w:hAnsi="Times New Roman"/>
          <w:sz w:val="8"/>
          <w:szCs w:val="28"/>
        </w:rPr>
      </w:r>
      <w:r>
        <w:rPr>
          <w:rFonts w:ascii="Times New Roman" w:hAnsi="Times New Roman"/>
          <w:sz w:val="8"/>
          <w:szCs w:val="28"/>
        </w:rPr>
      </w:r>
    </w:p>
    <w:p>
      <w:pPr>
        <w:jc w:val="center"/>
        <w:spacing w:before="60" w:after="144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Учебно-тематический план программы повышения квалификации</w:t>
      </w:r>
      <w:r>
        <w:rPr>
          <w:rFonts w:ascii="Times New Roman" w:hAnsi="Times New Roman"/>
          <w:sz w:val="28"/>
        </w:rPr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3059"/>
        <w:gridCol w:w="709"/>
        <w:gridCol w:w="697"/>
        <w:gridCol w:w="762"/>
        <w:gridCol w:w="881"/>
        <w:gridCol w:w="795"/>
        <w:gridCol w:w="882"/>
        <w:gridCol w:w="1652"/>
        <w:gridCol w:w="197"/>
      </w:tblGrid>
      <w:tr>
        <w:tblPrEx/>
        <w:trPr/>
        <w:tc>
          <w:tcPr>
            <w:gridSpan w:val="10"/>
            <w:tcW w:w="10543" w:type="dxa"/>
            <w:textDirection w:val="lrTb"/>
            <w:noWrap w:val="false"/>
          </w:tcPr>
          <w:p>
            <w:pPr>
              <w:jc w:val="center"/>
              <w:spacing w:before="60" w:after="144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Актуальные вопросы правового регулирования технологического присоединения в электроэнергетике Российской Федерации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W w:w="4677" w:type="dxa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Цель обучения: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</w:p>
        </w:tc>
        <w:tc>
          <w:tcPr>
            <w:gridSpan w:val="7"/>
            <w:tcW w:w="5866" w:type="dxa"/>
            <w:textDirection w:val="lrTb"/>
            <w:noWrap w:val="false"/>
          </w:tcPr>
          <w:p>
            <w:pPr>
              <w:pStyle w:val="1022"/>
              <w:numPr>
                <w:ilvl w:val="0"/>
                <w:numId w:val="46"/>
              </w:numPr>
              <w:ind w:left="0" w:firstLine="349"/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обучающихся по вопросам, связанным с правилами технологического присоединения энергопринимающих устройств потребителей к объектам сетевой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особенностей и содержания законодательного регулирования отношений, складывающихся при заключении, исполнении и прекращении договора об осуществлении технологического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присоединения;.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22"/>
              <w:numPr>
                <w:ilvl w:val="0"/>
                <w:numId w:val="46"/>
              </w:numPr>
              <w:ind w:left="0" w:firstLine="349"/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систематизация знаний правового регулирования технологического присоединения для уверенного их применения на практике;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22"/>
              <w:numPr>
                <w:ilvl w:val="0"/>
                <w:numId w:val="46"/>
              </w:numPr>
              <w:ind w:left="0" w:firstLine="349"/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знаний гражданами для защиты своих интересов при потреблении услуг жилищно-коммунального хозяйства;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22"/>
              <w:numPr>
                <w:ilvl w:val="0"/>
                <w:numId w:val="46"/>
              </w:numPr>
              <w:ind w:left="0" w:firstLine="349"/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новых и совершенствование имеющихся компетенций.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194"/>
        </w:trPr>
        <w:tc>
          <w:tcPr>
            <w:gridSpan w:val="3"/>
            <w:tcW w:w="4677" w:type="dxa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Категория слушателей: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</w:p>
        </w:tc>
        <w:tc>
          <w:tcPr>
            <w:gridSpan w:val="7"/>
            <w:tcW w:w="5866" w:type="dxa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1)руководители и специалисты: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-электроэнергетических компаний (сетевых организаций, энергосбытовых организаций, агрегаторов спроса;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компаний–потребителей электроэнергии в сферах черной и цветной металлургии, газовой промышленности, ЖКХ, машиностроения;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-государственных органов;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-консалтинговых компаний;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практикующие юристы и адвокаты;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другие заинтересованные лица.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677" w:type="dxa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Профессиональный стандарт: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</w:p>
        </w:tc>
        <w:tc>
          <w:tcPr>
            <w:gridSpan w:val="7"/>
            <w:tcW w:w="5866" w:type="dxa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20"/>
        </w:trPr>
        <w:tc>
          <w:tcPr>
            <w:gridSpan w:val="3"/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Базовое образование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7"/>
            <w:tcW w:w="5866" w:type="dxa"/>
            <w:vMerge w:val="restart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(высшее профессиональное) и (или) среднее профессиональное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20"/>
        </w:trPr>
        <w:tc>
          <w:tcPr>
            <w:gridSpan w:val="3"/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Форма обучения: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7"/>
            <w:tcW w:w="5866" w:type="dxa"/>
            <w:vMerge w:val="restart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очная, очно-заочная, заочная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20"/>
        </w:trPr>
        <w:tc>
          <w:tcPr>
            <w:gridSpan w:val="3"/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Модель реализации обучения: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gridSpan w:val="7"/>
            <w:tcW w:w="5866" w:type="dxa"/>
            <w:vMerge w:val="restart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аудиторные занятия в онлайн-формате на платформе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link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самостоятельная работа слушателей, электронное обучение с применением дистанционных образовательных технологий (в онлайн-формате с помощью ресурсов ЭИОС организации)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53"/>
        </w:trPr>
        <w:tc>
          <w:tcPr>
            <w:gridSpan w:val="3"/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Объем программы обучения: </w:t>
            </w:r>
            <w:r>
              <w:rPr>
                <w:rFonts w:ascii="Times New Roman" w:hAnsi="Times New Roman"/>
                <w:b/>
                <w:bCs/>
                <w:sz w:val="24"/>
              </w:rPr>
            </w:r>
          </w:p>
        </w:tc>
        <w:tc>
          <w:tcPr>
            <w:gridSpan w:val="7"/>
            <w:tcW w:w="5866" w:type="dxa"/>
            <w:vMerge w:val="restart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часов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4677" w:type="dxa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 обучения: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7"/>
            <w:tcW w:w="5866" w:type="dxa"/>
            <w:textDirection w:val="lrTb"/>
            <w:noWrap w:val="false"/>
          </w:tcPr>
          <w:p>
            <w:pPr>
              <w:jc w:val="both"/>
              <w:spacing w:before="60" w:after="144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 – 5 дней/ ОЗФО – 30 дней/ ЗФО – 30 дней/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0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Шифр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дисциплин (модулей)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часов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аттестации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9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2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0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05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Специальный раздел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1574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С.01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9" w:type="dxa"/>
            <w:textDirection w:val="lrTb"/>
            <w:noWrap w:val="false"/>
          </w:tcPr>
          <w:p>
            <w:pPr>
              <w:contextualSpacing/>
              <w:spacing w:line="240" w:lineRule="auto"/>
              <w:tabs>
                <w:tab w:val="left" w:pos="709" w:leader="none"/>
                <w:tab w:val="left" w:pos="851" w:leader="none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Ключевые источники правового регулирования отношений по технологическому присоединению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6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551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С.02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9" w:type="dxa"/>
            <w:textDirection w:val="lrTb"/>
            <w:noWrap w:val="false"/>
          </w:tcPr>
          <w:p>
            <w:pPr>
              <w:contextualSpacing/>
              <w:spacing w:line="240" w:lineRule="auto"/>
              <w:tabs>
                <w:tab w:val="left" w:pos="709" w:leader="none"/>
                <w:tab w:val="left" w:pos="851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договора об осуществлении технологического присоединения и особенности субъектного состава договорных отношений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20" w:after="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6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2346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С.03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59" w:type="dxa"/>
            <w:textDirection w:val="lrTb"/>
            <w:noWrap w:val="false"/>
          </w:tcPr>
          <w:p>
            <w:pPr>
              <w:contextualSpacing/>
              <w:ind w:right="34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Порядок заключения, исполнения и прекращения договора об осуществлении технологического присоединения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6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313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contextualSpacing/>
              <w:ind w:right="34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ИА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059" w:type="dxa"/>
            <w:textDirection w:val="lrTb"/>
            <w:noWrap w:val="false"/>
          </w:tcPr>
          <w:p>
            <w:pPr>
              <w:contextualSpacing/>
              <w:ind w:right="34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аттестация</w:t>
            </w:r>
            <w:r>
              <w:rPr>
                <w:rFonts w:ascii="Times New Roman" w:hAnsi="Times New Roman"/>
                <w:b/>
                <w:bCs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6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Экзамен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618"/>
        </w:trPr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dxa"/>
            <w:vAlign w:val="center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059" w:type="dxa"/>
            <w:textDirection w:val="lrTb"/>
            <w:noWrap w:val="false"/>
          </w:tcPr>
          <w:p>
            <w:pPr>
              <w:contextualSpacing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69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6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8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65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jc w:val="center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Общая и аудиторная трудоемкость указана в академических часах.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br w:type="page" w:clear="all"/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jc w:val="center"/>
        <w:shd w:val="clear" w:color="auto" w:fill="ffffff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numPr>
          <w:ilvl w:val="0"/>
          <w:numId w:val="7"/>
        </w:numPr>
        <w:contextualSpacing/>
        <w:jc w:val="center"/>
        <w:spacing w:line="240" w:lineRule="auto"/>
        <w:shd w:val="clear" w:color="auto" w:fill="ffffff"/>
        <w:tabs>
          <w:tab w:val="left" w:pos="1872" w:leader="none"/>
        </w:tabs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  <w:t xml:space="preserve">КАЛЕНДАРНЫЙ УЧЕБНЫЙ ГРАФИК</w:t>
      </w:r>
      <w:r>
        <w:rPr>
          <w:rFonts w:ascii="Times New Roman" w:hAnsi="Times New Roman" w:eastAsiaTheme="minorHAnsi"/>
          <w:bCs/>
          <w:sz w:val="24"/>
          <w:szCs w:val="24"/>
        </w:rPr>
      </w:r>
    </w:p>
    <w:p>
      <w:pPr>
        <w:jc w:val="center"/>
        <w:shd w:val="clear" w:color="auto" w:fill="ffffff"/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  <w:t xml:space="preserve">Объем программы – 40 ч.</w:t>
      </w:r>
      <w:r>
        <w:rPr>
          <w:rFonts w:ascii="Times New Roman" w:hAnsi="Times New Roman" w:eastAsiaTheme="minorHAnsi"/>
          <w:bCs/>
          <w:sz w:val="24"/>
          <w:szCs w:val="24"/>
        </w:rPr>
      </w:r>
    </w:p>
    <w:tbl>
      <w:tblPr>
        <w:tblStyle w:val="1016"/>
        <w:tblW w:w="10205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2295"/>
        <w:gridCol w:w="2403"/>
        <w:gridCol w:w="2403"/>
        <w:gridCol w:w="3104"/>
      </w:tblGrid>
      <w:tr>
        <w:tblPrEx/>
        <w:trPr>
          <w:trHeight w:val="255"/>
        </w:trPr>
        <w:tc>
          <w:tcPr>
            <w:gridSpan w:val="4"/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Период обучения / учебные дни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22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10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gridSpan w:val="4"/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ОФО – продолжительность обучения: неделя (5 дней)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244"/>
        </w:trPr>
        <w:tc>
          <w:tcPr>
            <w:gridSpan w:val="4"/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Ауд.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185"/>
        </w:trPr>
        <w:tc>
          <w:tcPr>
            <w:tcW w:w="22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Тема С.01 (2ч. - Л, 4ч. - П, 6ч - СР)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Тема С.02 (2ч. - Л, 4ч. - П, 6ч - СР)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Тема С.03 (2ч. - Л, 4ч. - П, 8ч -СР)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1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ИА (2ч.)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gridSpan w:val="4"/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ОЗФО – продолжительность обучения: месяц (30 дней)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gridSpan w:val="4"/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Ауд.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244"/>
        </w:trPr>
        <w:tc>
          <w:tcPr>
            <w:tcW w:w="22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Тема С.01 (2ч. - Л, 2ч. - П, 8ч - СР)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Тема С.02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( 2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ч. - Л, 2ч. - П, 8ч - СР)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24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Тема С.03 (2ч. - Л, 2ч. - П, 10ч -СР)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W w:w="31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  ИА (2ч.)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292"/>
        </w:trPr>
        <w:tc>
          <w:tcPr>
            <w:gridSpan w:val="4"/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ЗФО – продолжительность обучения: месяц (30 дней)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22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Тема С.01 (12ч - СР)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W w:w="24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Тема С.02 (12ч - СР)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W w:w="24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Тема С.03 (14ч - СР)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W w:w="31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ИА (2ч.)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contextualSpacing/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</w:r>
      <w:r>
        <w:rPr>
          <w:rFonts w:ascii="Times New Roman" w:hAnsi="Times New Roman"/>
          <w:bCs/>
          <w:i/>
          <w:sz w:val="24"/>
          <w:szCs w:val="24"/>
          <w:u w:val="single"/>
        </w:rPr>
      </w:r>
    </w:p>
    <w:p>
      <w:pPr>
        <w:contextualSpacing/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Л – лекция</w:t>
      </w:r>
      <w:r>
        <w:rPr>
          <w:rFonts w:ascii="Times New Roman" w:hAnsi="Times New Roman"/>
          <w:bCs/>
          <w:i/>
          <w:sz w:val="24"/>
          <w:szCs w:val="24"/>
          <w:u w:val="single"/>
        </w:rPr>
      </w:r>
    </w:p>
    <w:p>
      <w:pPr>
        <w:contextualSpacing/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П – практическое занятие</w:t>
      </w:r>
      <w:r>
        <w:rPr>
          <w:rFonts w:ascii="Times New Roman" w:hAnsi="Times New Roman"/>
          <w:bCs/>
          <w:i/>
          <w:sz w:val="24"/>
          <w:szCs w:val="24"/>
          <w:u w:val="single"/>
        </w:rPr>
      </w:r>
    </w:p>
    <w:p>
      <w:pPr>
        <w:contextualSpacing/>
        <w:spacing w:after="0" w:line="240" w:lineRule="auto"/>
        <w:rPr>
          <w:rFonts w:ascii="Times New Roman" w:hAnsi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 xml:space="preserve">СР- самостоятельная работа</w:t>
      </w:r>
      <w:r>
        <w:rPr>
          <w:rFonts w:ascii="Times New Roman" w:hAnsi="Times New Roman"/>
          <w:bCs/>
          <w:i/>
          <w:sz w:val="24"/>
          <w:szCs w:val="24"/>
          <w:u w:val="single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7"/>
        </w:numPr>
        <w:contextualSpacing/>
        <w:jc w:val="center"/>
        <w:spacing w:line="240" w:lineRule="auto"/>
        <w:shd w:val="clear" w:color="auto" w:fill="ffffff"/>
        <w:tabs>
          <w:tab w:val="left" w:pos="1872" w:leader="none"/>
        </w:tabs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  <w:t xml:space="preserve">РАБОЧИЕ ПРОГРАММЫ ДИСЦИПЛИН (МОДУЛЕЙ)</w:t>
      </w:r>
      <w:r>
        <w:rPr>
          <w:rFonts w:ascii="Times New Roman" w:hAnsi="Times New Roman" w:eastAsiaTheme="minorHAnsi"/>
          <w:bCs/>
          <w:sz w:val="24"/>
          <w:szCs w:val="24"/>
        </w:rPr>
      </w:r>
    </w:p>
    <w:tbl>
      <w:tblPr>
        <w:tblStyle w:val="1016"/>
        <w:tblW w:w="0" w:type="auto"/>
        <w:tblLayout w:type="fixed"/>
        <w:tblLook w:val="04A0" w:firstRow="1" w:lastRow="0" w:firstColumn="1" w:lastColumn="0" w:noHBand="0" w:noVBand="1"/>
      </w:tblPr>
      <w:tblGrid>
        <w:gridCol w:w="2034"/>
        <w:gridCol w:w="8122"/>
      </w:tblGrid>
      <w:tr>
        <w:tblPrEx/>
        <w:trPr>
          <w:trHeight w:val="25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4" w:type="dxa"/>
            <w:textDirection w:val="lrTb"/>
            <w:noWrap w:val="false"/>
          </w:tcPr>
          <w:p>
            <w:pPr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Дисциплина (модуль)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1.Ключевые источники правового регулирования отношений по технологическому присоединению.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4" w:type="dxa"/>
            <w:textDirection w:val="lrTb"/>
            <w:noWrap w:val="false"/>
          </w:tcPr>
          <w:p>
            <w:pPr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Краткое содержание лекций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2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Цели и задачи технологического присоединения. Основные характеристики деятельности по осуществлению технологического присоединения.</w:t>
            </w:r>
            <w:r>
              <w:rPr>
                <w:rFonts w:ascii="Times New Roman" w:hAnsi="Times New Roman" w:eastAsia="Calibri"/>
              </w:rPr>
            </w:r>
          </w:p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Общая характеристика источников энергетического права, регулирующих отношения по технологическому присоединению к электрическим сетям.</w:t>
            </w:r>
            <w:r>
              <w:rPr>
                <w:rFonts w:ascii="Times New Roman" w:hAnsi="Times New Roman" w:eastAsia="Calibri"/>
              </w:rPr>
            </w:r>
          </w:p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Кодифицированные акты. Федеральные законы.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Подзаконные нормативные правовые акты. Обзор структуры Правил технологического</w:t>
            </w:r>
            <w:r>
              <w:rPr>
                <w:rFonts w:ascii="Times New Roman" w:hAnsi="Times New Roman" w:eastAsia="Calibri"/>
              </w:rPr>
              <w:t xml:space="preserve">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</w:t>
            </w:r>
            <w:r>
              <w:rPr>
                <w:rFonts w:ascii="Times New Roman" w:hAnsi="Times New Roman" w:eastAsia="Calibri"/>
                <w:bCs/>
              </w:rPr>
              <w:t xml:space="preserve">постановлением Правительства Российской Федерации от 27.12.2004 № 861.</w:t>
            </w:r>
            <w:r>
              <w:rPr>
                <w:rFonts w:ascii="Times New Roman" w:hAnsi="Times New Roman" w:eastAsia="Calibri"/>
              </w:rPr>
            </w:r>
          </w:p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bCs/>
              </w:rPr>
              <w:t xml:space="preserve">Примеры правового регулирования отношений по технологическому присоединению за рубежом.</w:t>
            </w:r>
            <w:r>
              <w:rPr>
                <w:rFonts w:ascii="Times New Roman" w:hAnsi="Times New Roman" w:eastAsia="Calibri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4" w:type="dxa"/>
            <w:textDirection w:val="lrTb"/>
            <w:noWrap w:val="false"/>
          </w:tcPr>
          <w:p>
            <w:pPr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Описание семинаров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22" w:type="dxa"/>
            <w:textDirection w:val="lrTb"/>
            <w:noWrap w:val="false"/>
          </w:tcPr>
          <w:p>
            <w:pPr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Доклады-презентации, круглый стол (вебинар) по теме лекции с обзором проектов нормативных правовых актов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tbl>
      <w:tblPr>
        <w:tblStyle w:val="1016"/>
        <w:tblW w:w="0" w:type="auto"/>
        <w:tblLayout w:type="fixed"/>
        <w:tblLook w:val="04A0" w:firstRow="1" w:lastRow="0" w:firstColumn="1" w:lastColumn="0" w:noHBand="0" w:noVBand="1"/>
      </w:tblPr>
      <w:tblGrid>
        <w:gridCol w:w="2037"/>
        <w:gridCol w:w="8134"/>
      </w:tblGrid>
      <w:tr>
        <w:tblPrEx/>
        <w:trPr>
          <w:trHeight w:val="8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7" w:type="dxa"/>
            <w:textDirection w:val="lrTb"/>
            <w:noWrap w:val="false"/>
          </w:tcPr>
          <w:p>
            <w:pPr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Дисциплина (модуль)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34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Правовая природа договора об осуществлении технологического присоединения и особенности субъектного состава договорных отношений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153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7" w:type="dxa"/>
            <w:textDirection w:val="lrTb"/>
            <w:noWrap w:val="false"/>
          </w:tcPr>
          <w:p>
            <w:pPr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Краткое содержание лекций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34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Общая характеристика договора об осуществлении технологического присоединения.</w:t>
            </w:r>
            <w:r>
              <w:rPr>
                <w:rFonts w:ascii="Times New Roman" w:hAnsi="Times New Roman" w:eastAsia="Calibri"/>
              </w:rPr>
            </w:r>
          </w:p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 xml:space="preserve">Субъектный состав договорных отношений по технологическому присоединению. </w:t>
            </w:r>
            <w:r>
              <w:rPr>
                <w:rFonts w:ascii="Times New Roman" w:hAnsi="Times New Roman" w:eastAsia="Calibri"/>
              </w:rPr>
            </w:r>
          </w:p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</w:rPr>
              <w:t xml:space="preserve">Договор об осуществлении технологического присоединения по индивидуальному проекту.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/>
        <w:trPr>
          <w:trHeight w:val="55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7" w:type="dxa"/>
            <w:textDirection w:val="lrTb"/>
            <w:noWrap w:val="false"/>
          </w:tcPr>
          <w:p>
            <w:pPr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Описание семинаров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1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Доклады-презентации, круглый стол (вебинар) по теме лекции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tbl>
      <w:tblPr>
        <w:tblStyle w:val="101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260"/>
        <w:gridCol w:w="790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Дисциплина (модуль)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7" w:type="dxa"/>
            <w:textDirection w:val="lrTb"/>
            <w:noWrap w:val="false"/>
          </w:tcPr>
          <w:p>
            <w:pPr>
              <w:ind w:righ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 xml:space="preserve"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Порядок заключения, исполнения и прекращения договора об осуществлении технологического присоединения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Краткое содержание лекций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7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</w:rPr>
              <w:t xml:space="preserve">Общий порядок заключения договора об осуществлении технологического присоединения. 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</w:rPr>
              <w:t xml:space="preserve">Существенные условия договора об осуществлении технологического присоединения.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</w:rPr>
              <w:t xml:space="preserve">ТУ как неотъемлемая часть договора об осуществлении технологического присоединения. 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</w:rPr>
              <w:t xml:space="preserve">Порядок оплаты технологического присоединения. 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</w:rPr>
              <w:t xml:space="preserve">Порядок прекращения договора об осуществлении технологического присоединения. 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  <w:p>
            <w:pPr>
              <w:contextualSpacing/>
              <w:jc w:val="both"/>
              <w:tabs>
                <w:tab w:val="left" w:pos="993" w:leader="none"/>
              </w:tabs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</w:rPr>
              <w:t xml:space="preserve">Ответственность сторон. Судебная практика.</w:t>
            </w:r>
            <w:r>
              <w:rPr>
                <w:rFonts w:ascii="Times New Roman" w:hAnsi="Times New Roman"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0" w:type="dxa"/>
            <w:textDirection w:val="lrTb"/>
            <w:noWrap w:val="false"/>
          </w:tcPr>
          <w:p>
            <w:pPr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Описание семинаров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0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Доклады-презентации, круглый стол (вебинар) по теме лекции 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numPr>
          <w:ilvl w:val="0"/>
          <w:numId w:val="7"/>
        </w:numPr>
        <w:contextualSpacing/>
        <w:jc w:val="center"/>
        <w:spacing w:line="240" w:lineRule="auto"/>
        <w:shd w:val="clear" w:color="auto" w:fill="ffffff"/>
        <w:tabs>
          <w:tab w:val="left" w:pos="1872" w:leader="none"/>
        </w:tabs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  <w:t xml:space="preserve">ПЛАНИРУЕМЫЕ РЕЗУЛЬТАТЫ ОБУЧЕНИЯ</w:t>
      </w:r>
      <w:r>
        <w:rPr>
          <w:rFonts w:ascii="Times New Roman" w:hAnsi="Times New Roman" w:eastAsiaTheme="minorHAnsi"/>
          <w:bCs/>
          <w:sz w:val="24"/>
          <w:szCs w:val="24"/>
        </w:rPr>
      </w:r>
    </w:p>
    <w:p>
      <w:pPr>
        <w:contextualSpacing/>
        <w:ind w:left="1070"/>
        <w:spacing w:line="240" w:lineRule="auto"/>
        <w:shd w:val="clear" w:color="auto" w:fill="ffffff"/>
        <w:tabs>
          <w:tab w:val="left" w:pos="1872" w:leader="none"/>
        </w:tabs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</w:r>
      <w:r>
        <w:rPr>
          <w:rFonts w:ascii="Times New Roman" w:hAnsi="Times New Roman" w:eastAsiaTheme="minorHAnsi"/>
          <w:bCs/>
          <w:sz w:val="24"/>
          <w:szCs w:val="24"/>
        </w:rPr>
      </w:r>
    </w:p>
    <w:p>
      <w:pPr>
        <w:ind w:firstLine="703"/>
        <w:jc w:val="both"/>
        <w:shd w:val="clear" w:color="auto" w:fill="ffffff"/>
        <w:tabs>
          <w:tab w:val="left" w:pos="187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программы повышения квалификации «</w:t>
      </w:r>
      <w:r>
        <w:rPr>
          <w:rFonts w:ascii="Times New Roman" w:hAnsi="Times New Roman"/>
          <w:b/>
          <w:bCs/>
          <w:sz w:val="24"/>
          <w:szCs w:val="24"/>
        </w:rPr>
        <w:t xml:space="preserve">Актуальные вопросы правового регулирования технологического присоединения в электроэнергетике Российской Федерации</w:t>
      </w:r>
      <w:r>
        <w:rPr>
          <w:rFonts w:ascii="Times New Roman" w:hAnsi="Times New Roman"/>
          <w:sz w:val="24"/>
          <w:szCs w:val="24"/>
        </w:rPr>
        <w:t xml:space="preserve">» должны быть усовершенствованы следующие профессиональные компетенции (ПК): </w:t>
      </w:r>
      <w:r>
        <w:rPr>
          <w:rFonts w:ascii="Times New Roman" w:hAnsi="Times New Roman"/>
          <w:sz w:val="24"/>
          <w:szCs w:val="24"/>
        </w:rPr>
      </w:r>
    </w:p>
    <w:p>
      <w:pPr>
        <w:ind w:firstLine="703"/>
        <w:jc w:val="both"/>
        <w:shd w:val="clear" w:color="auto" w:fill="ffffff"/>
        <w:tabs>
          <w:tab w:val="left" w:pos="187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ПК 1 – готовность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областях;</w:t>
      </w:r>
      <w:r>
        <w:rPr>
          <w:rFonts w:ascii="Times New Roman" w:hAnsi="Times New Roman"/>
          <w:sz w:val="24"/>
          <w:szCs w:val="24"/>
        </w:rPr>
      </w:r>
    </w:p>
    <w:p>
      <w:pPr>
        <w:ind w:firstLine="703"/>
        <w:jc w:val="both"/>
        <w:shd w:val="clear" w:color="auto" w:fill="ffffff"/>
        <w:tabs>
          <w:tab w:val="left" w:pos="187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ПК 2 – знание состава, структуры и тенденции развития правового регулирования технологическому присоединению энергопринимающих устройств потребителей к объектам сетевой организации; </w:t>
      </w:r>
      <w:r>
        <w:rPr>
          <w:rFonts w:ascii="Times New Roman" w:hAnsi="Times New Roman"/>
          <w:sz w:val="24"/>
          <w:szCs w:val="24"/>
        </w:rPr>
      </w:r>
    </w:p>
    <w:p>
      <w:pPr>
        <w:ind w:firstLine="703"/>
        <w:jc w:val="both"/>
        <w:shd w:val="clear" w:color="auto" w:fill="ffffff"/>
        <w:tabs>
          <w:tab w:val="left" w:pos="187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ПК 3 – знание тенденций развития правоприменительной практики в области технологического присоединения энергопринимающих устройств, и ее значение в системе правового регулирования в сфере энергетики;</w:t>
      </w:r>
      <w:r>
        <w:rPr>
          <w:rFonts w:ascii="Times New Roman" w:hAnsi="Times New Roman"/>
          <w:sz w:val="24"/>
          <w:szCs w:val="24"/>
        </w:rPr>
      </w:r>
    </w:p>
    <w:p>
      <w:pPr>
        <w:ind w:firstLine="703"/>
        <w:jc w:val="both"/>
        <w:shd w:val="clear" w:color="auto" w:fill="ffffff"/>
        <w:tabs>
          <w:tab w:val="left" w:pos="187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ПК 4 – умение применять нормы энергетического права в ситуациях наличия пробелов, противоречий, решать сложные задачи правоприменительной практики при технологическом присоединении;</w:t>
      </w:r>
      <w:r>
        <w:rPr>
          <w:rFonts w:ascii="Times New Roman" w:hAnsi="Times New Roman"/>
          <w:sz w:val="24"/>
          <w:szCs w:val="24"/>
        </w:rPr>
      </w:r>
    </w:p>
    <w:p>
      <w:pPr>
        <w:ind w:firstLine="703"/>
        <w:jc w:val="both"/>
        <w:shd w:val="clear" w:color="auto" w:fill="ffffff"/>
        <w:tabs>
          <w:tab w:val="left" w:pos="187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ПК 5 – владение навыками составления письменных документов юридического содержания; разработки проектов нормативных и индивидуальных правовых актов в области технологического присоединения;</w:t>
      </w:r>
      <w:r>
        <w:rPr>
          <w:rFonts w:ascii="Times New Roman" w:hAnsi="Times New Roman"/>
          <w:sz w:val="24"/>
          <w:szCs w:val="24"/>
        </w:rPr>
      </w:r>
    </w:p>
    <w:p>
      <w:pPr>
        <w:shd w:val="clear" w:color="auto" w:fill="ffffff"/>
        <w:tabs>
          <w:tab w:val="left" w:pos="1872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3.1 Таблица соответствия действующих профессиональных стандартов образовательной программе</w:t>
      </w:r>
      <w:r>
        <w:rPr>
          <w:rFonts w:ascii="Times New Roman" w:hAnsi="Times New Roman"/>
          <w:b/>
          <w:sz w:val="24"/>
          <w:szCs w:val="24"/>
        </w:rPr>
      </w:r>
    </w:p>
    <w:tbl>
      <w:tblPr>
        <w:tblStyle w:val="1016"/>
        <w:tblW w:w="0" w:type="auto"/>
        <w:tblInd w:w="249" w:type="dxa"/>
        <w:tblLayout w:type="fixed"/>
        <w:tblLook w:val="04A0" w:firstRow="1" w:lastRow="0" w:firstColumn="1" w:lastColumn="0" w:noHBand="0" w:noVBand="1"/>
      </w:tblPr>
      <w:tblGrid>
        <w:gridCol w:w="2110"/>
        <w:gridCol w:w="2269"/>
        <w:gridCol w:w="2976"/>
        <w:gridCol w:w="270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0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872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Код профессионального стандарта по классификации </w:t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Минтруда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872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Область профессиональной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872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Вид профессиональной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872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Наименование профессионального стандарта (с последующими </w:t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изменениями и дополнениями)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10" w:type="dxa"/>
            <w:textDirection w:val="lrTb"/>
            <w:noWrap w:val="false"/>
          </w:tcPr>
          <w:p>
            <w:pPr>
              <w:jc w:val="center"/>
              <w:tabs>
                <w:tab w:val="left" w:pos="187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9" w:type="dxa"/>
            <w:textDirection w:val="lrTb"/>
            <w:noWrap w:val="false"/>
          </w:tcPr>
          <w:p>
            <w:pPr>
              <w:jc w:val="center"/>
              <w:tabs>
                <w:tab w:val="left" w:pos="187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Правовое обеспечение осуществления технологического присоединения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jc w:val="center"/>
              <w:tabs>
                <w:tab w:val="left" w:pos="187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деятельности по нормативно-правовому обеспечению технологического присоединения,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center"/>
              <w:tabs>
                <w:tab w:val="left" w:pos="187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экспертной деятельности в сфере энергетики, осуществление деятельности по договорному сопровождению технологического присоединения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187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8" w:type="dxa"/>
            <w:textDirection w:val="lrTb"/>
            <w:noWrap w:val="false"/>
          </w:tcPr>
          <w:p>
            <w:pPr>
              <w:jc w:val="center"/>
              <w:tabs>
                <w:tab w:val="left" w:pos="1872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предусмотрен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hd w:val="clear" w:color="auto" w:fill="ffffff"/>
        <w:tabs>
          <w:tab w:val="left" w:pos="1872" w:leader="none"/>
        </w:tabs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</w:r>
      <w:r>
        <w:rPr>
          <w:rFonts w:ascii="Times New Roman" w:hAnsi="Times New Roman" w:eastAsiaTheme="minorHAnsi"/>
          <w:bCs/>
          <w:sz w:val="24"/>
          <w:szCs w:val="24"/>
        </w:rPr>
      </w:r>
    </w:p>
    <w:p>
      <w:pPr>
        <w:contextualSpacing/>
        <w:ind w:left="1070"/>
        <w:jc w:val="center"/>
        <w:spacing w:line="240" w:lineRule="auto"/>
        <w:shd w:val="clear" w:color="auto" w:fill="ffffff"/>
        <w:tabs>
          <w:tab w:val="left" w:pos="1872" w:leader="none"/>
        </w:tabs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  <w:t xml:space="preserve">4. ОРГАНИЗАЦИОННО-ПЕДАГОГИЧЕСКИЕ УСЛОВИЯ РЕАЛИЗАЦИИ ПРОГРАММЫ</w:t>
      </w:r>
      <w:r>
        <w:rPr>
          <w:rFonts w:ascii="Times New Roman" w:hAnsi="Times New Roman" w:eastAsiaTheme="minorHAnsi"/>
          <w:bCs/>
          <w:sz w:val="24"/>
          <w:szCs w:val="24"/>
        </w:rPr>
      </w:r>
    </w:p>
    <w:p>
      <w:pPr>
        <w:ind w:firstLine="705"/>
        <w:jc w:val="both"/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4.1.</w:t>
      </w:r>
      <w:r>
        <w:rPr>
          <w:rFonts w:ascii="Times New Roman" w:hAnsi="Times New Roman"/>
          <w:b/>
          <w:sz w:val="24"/>
          <w:szCs w:val="24"/>
        </w:rPr>
        <w:tab/>
        <w:t xml:space="preserve">Кадровое обеспечение программы</w:t>
      </w:r>
      <w:r>
        <w:rPr>
          <w:rFonts w:ascii="Times New Roman" w:hAnsi="Times New Roman" w:eastAsiaTheme="minorHAnsi"/>
          <w:bCs/>
          <w:sz w:val="24"/>
          <w:szCs w:val="24"/>
        </w:rPr>
      </w:r>
    </w:p>
    <w:p>
      <w:pPr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Реализацию программы обеспечивают педагогические кадры, имеющие ученую степень. Для проведения практических занятий могут быть привлечены представители энергетических компаний, государственных органов, судейского сообщества.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</w:t>
      </w:r>
      <w:r>
        <w:rPr>
          <w:rFonts w:ascii="Times New Roman" w:hAnsi="Times New Roman"/>
          <w:b/>
          <w:sz w:val="24"/>
          <w:szCs w:val="24"/>
        </w:rPr>
        <w:tab/>
        <w:t xml:space="preserve">Методические рекомендации преподавателю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видами аудиторной работы слушателей являются: лекции и практические занятия.</w:t>
      </w:r>
      <w:r>
        <w:rPr>
          <w:rFonts w:ascii="Times New Roman" w:hAnsi="Times New Roman"/>
          <w:sz w:val="24"/>
          <w:szCs w:val="24"/>
        </w:rPr>
      </w:r>
    </w:p>
    <w:p>
      <w:pPr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лекции преподаватель излагает и разъясняет основные положения темы, связанные с ней теоретические и практические проблемы, дает рекомендации к практической деятельности.</w:t>
      </w:r>
      <w:r>
        <w:rPr>
          <w:rFonts w:ascii="Times New Roman" w:hAnsi="Times New Roman"/>
          <w:sz w:val="24"/>
          <w:szCs w:val="24"/>
        </w:rPr>
      </w:r>
    </w:p>
    <w:p>
      <w:pPr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практических занятий преподаватель должен четко формулировать цель занятия и основные проблемные вопросы. После заслушивания ответов слушателей нео</w:t>
      </w:r>
      <w:r>
        <w:rPr>
          <w:rFonts w:ascii="Times New Roman" w:hAnsi="Times New Roman"/>
          <w:sz w:val="24"/>
          <w:szCs w:val="24"/>
        </w:rPr>
        <w:t xml:space="preserve">бходимо подчеркнуть положительные аспекты их работы, обратить внимание на имеющиеся неточности (ошибки), дать рекомендации по дальнейшей подготовке. В целях контроля уровня подготовленности слушателей, для закрепления теоретических знаний и привития им нав</w:t>
      </w:r>
      <w:r>
        <w:rPr>
          <w:rFonts w:ascii="Times New Roman" w:hAnsi="Times New Roman"/>
          <w:sz w:val="24"/>
          <w:szCs w:val="24"/>
        </w:rPr>
        <w:t xml:space="preserve">ыков работы по предложенной тематике преподаватель в ходе семинарских занятий может проводить устные опросы, давать письменные практические задания, с помощью которых преподаватель проверяет умение применять полученные знания для решения конкретных задач. </w:t>
      </w:r>
      <w:r>
        <w:rPr>
          <w:rFonts w:ascii="Times New Roman" w:hAnsi="Times New Roman"/>
          <w:sz w:val="24"/>
          <w:szCs w:val="24"/>
        </w:rPr>
      </w:r>
    </w:p>
    <w:p>
      <w:pPr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Преподаватель должен осуществлять индивидуальный контроль работы слушателей; давать соответствующие рекомендации; в случае необходимости помочь слушателю составить индивидуальный план работы по изучению учебного предмета.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4.3.</w:t>
      </w:r>
      <w:r>
        <w:rPr>
          <w:rFonts w:ascii="Times New Roman" w:hAnsi="Times New Roman"/>
          <w:b/>
          <w:sz w:val="24"/>
          <w:szCs w:val="24"/>
        </w:rPr>
        <w:tab/>
        <w:t xml:space="preserve">Методические указания слушателю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tabs>
          <w:tab w:val="left" w:pos="0" w:leader="none"/>
        </w:tabs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лек</w:t>
      </w:r>
      <w:r>
        <w:rPr>
          <w:rFonts w:ascii="Times New Roman" w:hAnsi="Times New Roman"/>
          <w:sz w:val="24"/>
          <w:szCs w:val="24"/>
        </w:rPr>
        <w:t xml:space="preserve">циях излагаются и разъясняются основные понятия темы, связанные с ней теоретические и практические проблемы, даются рекомендации для самостоятельной работы. Слушатель не имеет права пропускать без уважительных причин аудиторные занятия, в противном случае </w:t>
      </w:r>
      <w:r>
        <w:rPr>
          <w:rFonts w:ascii="Times New Roman" w:hAnsi="Times New Roman"/>
          <w:sz w:val="24"/>
          <w:szCs w:val="24"/>
        </w:rPr>
        <w:t xml:space="preserve">он может быть</w:t>
      </w:r>
      <w:r>
        <w:rPr>
          <w:rFonts w:ascii="Times New Roman" w:hAnsi="Times New Roman"/>
          <w:sz w:val="24"/>
          <w:szCs w:val="24"/>
        </w:rPr>
        <w:t xml:space="preserve"> не допущен к итоговой аттестации.</w:t>
      </w:r>
      <w:r>
        <w:rPr>
          <w:rFonts w:ascii="Times New Roman" w:hAnsi="Times New Roman"/>
          <w:spacing w:val="-6"/>
          <w:sz w:val="24"/>
          <w:szCs w:val="24"/>
        </w:rPr>
      </w:r>
    </w:p>
    <w:p>
      <w:pPr>
        <w:ind w:firstLine="709"/>
        <w:jc w:val="both"/>
        <w:tabs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При изучении дисциплин учебной программы применяются практические занятия, </w:t>
      </w:r>
      <w:r>
        <w:rPr>
          <w:rFonts w:ascii="Times New Roman" w:hAnsi="Times New Roman"/>
          <w:spacing w:val="4"/>
          <w:sz w:val="24"/>
          <w:szCs w:val="24"/>
        </w:rPr>
        <w:t xml:space="preserve">цель которых </w:t>
      </w:r>
      <w:r>
        <w:rPr>
          <w:rFonts w:ascii="Times New Roman" w:hAnsi="Times New Roman"/>
          <w:spacing w:val="6"/>
          <w:sz w:val="24"/>
          <w:szCs w:val="24"/>
        </w:rPr>
        <w:t xml:space="preserve">заключается в достижении </w:t>
      </w:r>
      <w:r>
        <w:rPr>
          <w:rFonts w:ascii="Times New Roman" w:hAnsi="Times New Roman"/>
          <w:spacing w:val="6"/>
          <w:sz w:val="24"/>
          <w:szCs w:val="24"/>
        </w:rPr>
        <w:t xml:space="preserve">более глубокого, полного усвоения учебного материала, а также развитие навыков самообразования. Кроме того, практические занятия служат формой контроля преподавателем уровня подготовленности слушателя, закрепления изученного материала, выработки навыков и </w:t>
      </w:r>
      <w:r>
        <w:rPr>
          <w:rFonts w:ascii="Times New Roman" w:hAnsi="Times New Roman"/>
          <w:spacing w:val="4"/>
          <w:sz w:val="24"/>
          <w:szCs w:val="24"/>
        </w:rPr>
        <w:t xml:space="preserve">умений применять полученные знания для решения </w:t>
      </w:r>
      <w:r>
        <w:rPr>
          <w:rFonts w:ascii="Times New Roman" w:hAnsi="Times New Roman"/>
          <w:sz w:val="24"/>
          <w:szCs w:val="24"/>
        </w:rPr>
        <w:t xml:space="preserve">имеющихся и вновь возникающих профессиональных задач</w:t>
      </w:r>
      <w:r>
        <w:rPr>
          <w:rFonts w:ascii="Times New Roman" w:hAnsi="Times New Roman"/>
          <w:spacing w:val="4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tabs>
          <w:tab w:val="left" w:pos="0" w:leader="none"/>
        </w:tabs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Завершающей стадией обучения является итоговая аттестация в форме экзамена. </w:t>
      </w:r>
      <w:r>
        <w:rPr>
          <w:rFonts w:ascii="Times New Roman" w:hAnsi="Times New Roman"/>
          <w:spacing w:val="4"/>
          <w:sz w:val="24"/>
          <w:szCs w:val="24"/>
        </w:rPr>
      </w:r>
    </w:p>
    <w:p>
      <w:pPr>
        <w:ind w:left="1070"/>
        <w:shd w:val="clear" w:color="auto" w:fill="ffffff"/>
        <w:tabs>
          <w:tab w:val="left" w:pos="1872" w:leader="none"/>
        </w:tabs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  <w:t xml:space="preserve">5.  ОБРАЗОВАТЕЛЬНЫЕ ТЕХНОЛОГИИ, ТЕКУЩИЙ КОНТРОЛЬ</w:t>
      </w:r>
      <w:r>
        <w:rPr>
          <w:rFonts w:ascii="Times New Roman" w:hAnsi="Times New Roman" w:eastAsiaTheme="minorHAnsi"/>
          <w:bCs/>
          <w:sz w:val="24"/>
          <w:szCs w:val="24"/>
        </w:rPr>
      </w:r>
    </w:p>
    <w:p>
      <w:pPr>
        <w:ind w:firstLine="709"/>
        <w:jc w:val="both"/>
        <w:tabs>
          <w:tab w:val="left" w:pos="0" w:leader="none"/>
        </w:tabs>
        <w:rPr>
          <w:rFonts w:ascii="Times New Roman" w:hAnsi="Times New Roman"/>
          <w:spacing w:val="6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 xml:space="preserve">Для достижения образовательных целей при реализации программы используютс</w:t>
      </w:r>
      <w:r>
        <w:rPr>
          <w:rFonts w:ascii="Times New Roman" w:hAnsi="Times New Roman"/>
          <w:spacing w:val="6"/>
          <w:sz w:val="24"/>
          <w:szCs w:val="24"/>
        </w:rPr>
        <w:t xml:space="preserve">я современные, эффективные образовательные технологии и средства обучения. Текущий контроль осуществляется в ходе интерактивной работы, выполнения заданий, участия в дискуссиях при проведении практических занятий, выполнении заданий самостоятельной работы.</w:t>
      </w:r>
      <w:r>
        <w:rPr>
          <w:rFonts w:ascii="Times New Roman" w:hAnsi="Times New Roman"/>
          <w:spacing w:val="6"/>
          <w:sz w:val="24"/>
          <w:szCs w:val="24"/>
        </w:rPr>
      </w:r>
    </w:p>
    <w:tbl>
      <w:tblPr>
        <w:tblStyle w:val="1016"/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2951"/>
        <w:gridCol w:w="441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Дисциплина (модуль)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Образовательные технологии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Текущий контроль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Ключевые источники правового регулирования отношений по технологическому присоединению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Доклады-презентации, круглый стол – практика публичного выступления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1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Активное выступление на круглом столе;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Оппонирование выступлениям других слушателей;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Грамотная аргументация своей позиции в письменной и устной форме;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доклад-презентация по теме;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Письменный, устный опрос.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2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  <w:tab w:val="left" w:pos="851" w:leader="none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 xml:space="preserve">Содержание договора об осуществлении технологического присоединения и особенности субъектного состава договорных отношений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Доклады-презентации, круглый стол – практика публичного выступления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1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Активное выступление на круглом столе;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Оппонирование выступлениям других слушателей;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Грамотная аргументация своей позиции в письменной и устной форме;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доклад-презентация по теме;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Письменный, устный опрос.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2" w:type="dxa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Calibri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 xml:space="preserve">Порядок заключения, исполнения и прекращения договора об осуществлении технологического присоединения.</w:t>
            </w:r>
            <w:r>
              <w:rPr>
                <w:rFonts w:ascii="Times New Roman" w:hAnsi="Times New Roman" w:eastAsia="Calibri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highlight w:val="cy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Доклады-презентации, круглый стол – практика публичного выступления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1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Активное выступление на круглом столе;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Оппонирование выступлениям других слушателей;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Грамотная аргументация своей позиции в письменной и устной форме;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доклад-презентация по теме;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Письменный, устный опрос.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Итоговая аттестация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Экзамен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Экзаменационный тест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hd w:val="clear" w:color="auto" w:fill="ffffff"/>
        <w:tabs>
          <w:tab w:val="left" w:pos="1872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hd w:val="clear" w:color="auto" w:fill="ffffff"/>
        <w:tabs>
          <w:tab w:val="left" w:pos="1872" w:leader="none"/>
        </w:tabs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  <w:t xml:space="preserve">6. ФОРМЫ АТТЕСТАЦИИ</w:t>
      </w:r>
      <w:r>
        <w:rPr>
          <w:rFonts w:ascii="Times New Roman" w:hAnsi="Times New Roman" w:eastAsiaTheme="minorHAnsi"/>
          <w:bCs/>
          <w:sz w:val="24"/>
          <w:szCs w:val="24"/>
        </w:rPr>
      </w:r>
    </w:p>
    <w:p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Промежуточная аттестация проводится в форме зачета.</w:t>
      </w:r>
      <w:r>
        <w:rPr>
          <w:rFonts w:ascii="Times New Roman" w:hAnsi="Times New Roman"/>
          <w:sz w:val="24"/>
          <w:szCs w:val="24"/>
        </w:rPr>
      </w:r>
    </w:p>
    <w:tbl>
      <w:tblPr>
        <w:tblW w:w="480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000"/>
        <w:gridCol w:w="3359"/>
        <w:gridCol w:w="5651"/>
      </w:tblGrid>
      <w:tr>
        <w:tblPrEx/>
        <w:trPr>
          <w:trHeight w:val="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contextualSpacing/>
              <w:ind w:left="-3"/>
              <w:jc w:val="center"/>
              <w:tabs>
                <w:tab w:val="left" w:pos="360" w:leader="none"/>
              </w:tabs>
              <w:rPr>
                <w:rFonts w:ascii="Times New Roman" w:hAnsi="Times New Roman"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Шифр </w:t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и дисциплин (модулей)</w:t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Theme="minorHAnsi"/>
                <w:b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  <w:t xml:space="preserve">Перечень примерных вопросов для зачетов</w:t>
            </w:r>
            <w:r>
              <w:rPr>
                <w:rFonts w:ascii="Times New Roman" w:hAnsi="Times New Roman" w:eastAsiaTheme="minorHAnsi"/>
                <w:b/>
                <w:sz w:val="24"/>
                <w:szCs w:val="24"/>
              </w:rPr>
            </w:r>
          </w:p>
        </w:tc>
      </w:tr>
      <w:tr>
        <w:tblPrEx/>
        <w:trPr>
          <w:trHeight w:val="566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contextualSpacing/>
              <w:tabs>
                <w:tab w:val="left" w:pos="360" w:leader="none"/>
              </w:tabs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1.1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9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Ключевые источники правового регулирования отношений по технологическому присоединению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1" w:type="dxa"/>
            <w:textDirection w:val="lrTb"/>
            <w:noWrap w:val="false"/>
          </w:tcPr>
          <w:p>
            <w:pPr>
              <w:pStyle w:val="1022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Цели и задачи технологического присоединения. Основные характеристики деятельности по осуществлению технологического присоединения.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022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Общая характеристика источников энергетического права, регулирующих отношения по технологическому присоединению к электрическим сетям.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022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Кодифицированные акты. Федеральные законы.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022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Подзаконные нормативные правовые акты. Обзор структуры Правил технологического присоединения энергопринимающих устройств потребителей электрической </w:t>
            </w:r>
            <w:r>
              <w:rPr>
                <w:rFonts w:ascii="Times New Roman" w:hAnsi="Times New Roman"/>
              </w:rPr>
              <w:t xml:space="preserve">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Российской Федерации от 27.12.2004 № 861.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022"/>
              <w:numPr>
                <w:ilvl w:val="0"/>
                <w:numId w:val="60"/>
              </w:numPr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Примеры правового регулирования отношений по технологическому присоединению за рубежом.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vAlign w:val="center"/>
            <w:textDirection w:val="lrTb"/>
            <w:noWrap w:val="false"/>
          </w:tcPr>
          <w:p>
            <w:pPr>
              <w:contextualSpacing/>
              <w:tabs>
                <w:tab w:val="left" w:pos="360" w:leader="none"/>
              </w:tabs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1.2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9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</w:rPr>
              <w:t xml:space="preserve">Содержание договора об осуществлении технологического присоединения и особенности субъектного состава договорных отношений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1" w:type="dxa"/>
            <w:textDirection w:val="lrTb"/>
            <w:noWrap w:val="false"/>
          </w:tcPr>
          <w:p>
            <w:pPr>
              <w:pStyle w:val="1022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Общая характеристика договора об осуществлении технологического присоединения.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22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Субъектный состав договорных отношений по технологическому присоединению.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22"/>
              <w:numPr>
                <w:ilvl w:val="0"/>
                <w:numId w:val="6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Договор об осуществлении технологического присоединения по индивидуальному проекту.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0" w:type="dxa"/>
            <w:textDirection w:val="lrTb"/>
            <w:noWrap w:val="false"/>
          </w:tcPr>
          <w:p>
            <w:pPr>
              <w:contextualSpacing/>
              <w:tabs>
                <w:tab w:val="left" w:pos="360" w:leader="none"/>
              </w:tabs>
              <w:rPr>
                <w:rFonts w:ascii="Times New Roman" w:hAnsi="Times New Roman" w:eastAsiaTheme="minorHAnsi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1.3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59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Порядок заключения, исполнения и прекращения договора об осуществлении технологического присоединения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51" w:type="dxa"/>
            <w:textDirection w:val="lrTb"/>
            <w:noWrap w:val="false"/>
          </w:tcPr>
          <w:p>
            <w:pPr>
              <w:pStyle w:val="1022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Общий порядок заключения договора об осуществлении технологического присоединения. Судебная практика.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22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Существенные условия договора об осуществлении технологического присоединения.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22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ТУ как неотъемлемая часть договора об осуществлении технологического присоединения. Судебная практика.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22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Порядок оплаты технологического присоединения. Судебная практика.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22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Порядок прекращения договора об </w:t>
            </w:r>
            <w:r>
              <w:rPr>
                <w:rFonts w:ascii="Times New Roman" w:hAnsi="Times New Roman"/>
              </w:rPr>
              <w:t xml:space="preserve">осуществлении технологического присоединения. Судебная практика.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1022"/>
              <w:numPr>
                <w:ilvl w:val="0"/>
                <w:numId w:val="64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Ответственность сторон. Судебная практика.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 Ито</w:t>
      </w:r>
      <w:r>
        <w:rPr>
          <w:rFonts w:ascii="Times New Roman" w:hAnsi="Times New Roman"/>
          <w:sz w:val="24"/>
          <w:szCs w:val="24"/>
        </w:rPr>
        <w:t xml:space="preserve">говая аттестация проводится в форме экзамена. Экзамен проводится в виде письменного опроса. Программа считается освоенной, если обучающийся прошел письменный опрос с оценкой «отлично», «хорошо», «удовлетворительно». Приводится перечень вопросов для опроса.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Итоговая аттестация может быть проведена в виде теста.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знаний и сформированных компетенций обучающихся определяется следующими оценками: положительными - «отли</w:t>
      </w:r>
      <w:r>
        <w:rPr>
          <w:rFonts w:ascii="Times New Roman" w:hAnsi="Times New Roman"/>
          <w:sz w:val="24"/>
          <w:szCs w:val="24"/>
        </w:rPr>
        <w:t xml:space="preserve">чно», «хорошо», «удовлетворительно» и отрицательной - «неудовлетворительно». Оценка «отлично» предполагает знание всего программного материала, умение формулировать полные ответы на вопросы при сдаче экзамена, умение последовательно излагать материал прогр</w:t>
      </w:r>
      <w:r>
        <w:rPr>
          <w:rFonts w:ascii="Times New Roman" w:hAnsi="Times New Roman"/>
          <w:sz w:val="24"/>
          <w:szCs w:val="24"/>
        </w:rPr>
        <w:t xml:space="preserve">аммы; оценка «хорошо» предполагает знание всего программного материала, умение формулировать ответы без затруднений, допуская незначительные ошибки; оценка «удовлетворительно» предполагает знание части программного материала, при применении знаний на практ</w:t>
      </w:r>
      <w:r>
        <w:rPr>
          <w:rFonts w:ascii="Times New Roman" w:hAnsi="Times New Roman"/>
          <w:sz w:val="24"/>
          <w:szCs w:val="24"/>
        </w:rPr>
        <w:t xml:space="preserve">ике, в случае затруднений, допускается помощь педагога; оценка «неудовлетворительно» предполагает неудовлетворительное знание основных понятий программы, неумение формулировать отдельные выводы, отсутствие логики и последовательности в изложении материала.</w:t>
      </w:r>
      <w:r>
        <w:rPr>
          <w:rFonts w:ascii="Times New Roman" w:hAnsi="Times New Roman"/>
          <w:sz w:val="24"/>
          <w:szCs w:val="24"/>
        </w:rPr>
      </w:r>
    </w:p>
    <w:p>
      <w:pPr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Примерные вопросы для итоговой аттестации (могут использоваться вместо экзаменационного теста):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22"/>
        <w:numPr>
          <w:ilvl w:val="0"/>
          <w:numId w:val="69"/>
        </w:numPr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Цели и задачи технологического присоединения. Основные характеристики деятельности по осуществлению технологического присоединения.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1022"/>
        <w:numPr>
          <w:ilvl w:val="0"/>
          <w:numId w:val="69"/>
        </w:numPr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Источники энергетического права, регулирующих отношения по технологическому присоединению к электрическим сетям.</w:t>
      </w:r>
      <w:r>
        <w:rPr>
          <w:rFonts w:ascii="Times New Roman" w:hAnsi="Times New Roman"/>
          <w:sz w:val="28"/>
          <w:szCs w:val="28"/>
        </w:rPr>
      </w:r>
    </w:p>
    <w:p>
      <w:pPr>
        <w:pStyle w:val="1022"/>
        <w:numPr>
          <w:ilvl w:val="0"/>
          <w:numId w:val="69"/>
        </w:numPr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Правила те</w:t>
      </w:r>
      <w:r>
        <w:rPr>
          <w:rFonts w:ascii="Times New Roman" w:hAnsi="Times New Roman"/>
          <w:sz w:val="24"/>
          <w:szCs w:val="24"/>
        </w:rPr>
        <w:t xml:space="preserve">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  <w:r>
        <w:rPr>
          <w:rFonts w:ascii="Times New Roman" w:hAnsi="Times New Roman"/>
          <w:sz w:val="24"/>
          <w:szCs w:val="24"/>
        </w:rPr>
      </w:r>
    </w:p>
    <w:p>
      <w:pPr>
        <w:pStyle w:val="1022"/>
        <w:numPr>
          <w:ilvl w:val="0"/>
          <w:numId w:val="69"/>
        </w:numPr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характеристика договора об осуществлении технологического присоединения.</w:t>
      </w:r>
      <w:r>
        <w:rPr>
          <w:rFonts w:ascii="Times New Roman" w:hAnsi="Times New Roman"/>
          <w:sz w:val="24"/>
          <w:szCs w:val="24"/>
        </w:rPr>
      </w:r>
    </w:p>
    <w:p>
      <w:pPr>
        <w:pStyle w:val="1022"/>
        <w:numPr>
          <w:ilvl w:val="0"/>
          <w:numId w:val="69"/>
        </w:numPr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Субъектный состав договорных отношений по технологическому присоединению. </w:t>
      </w:r>
      <w:r>
        <w:rPr>
          <w:rFonts w:ascii="Times New Roman" w:hAnsi="Times New Roman"/>
          <w:sz w:val="24"/>
          <w:szCs w:val="24"/>
        </w:rPr>
      </w:r>
    </w:p>
    <w:p>
      <w:pPr>
        <w:pStyle w:val="1022"/>
        <w:numPr>
          <w:ilvl w:val="0"/>
          <w:numId w:val="69"/>
        </w:numPr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об осуществлении технологического присоединения по индивидуальному проекту.</w:t>
      </w:r>
      <w:r>
        <w:rPr>
          <w:rFonts w:ascii="Times New Roman" w:hAnsi="Times New Roman"/>
          <w:sz w:val="24"/>
          <w:szCs w:val="24"/>
        </w:rPr>
      </w:r>
    </w:p>
    <w:p>
      <w:pPr>
        <w:pStyle w:val="1022"/>
        <w:numPr>
          <w:ilvl w:val="0"/>
          <w:numId w:val="69"/>
        </w:numPr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Общий порядок заключения договора об осуществлении технологического присоединения.</w:t>
      </w:r>
      <w:r>
        <w:rPr>
          <w:rFonts w:ascii="Times New Roman" w:hAnsi="Times New Roman"/>
          <w:sz w:val="24"/>
          <w:szCs w:val="24"/>
        </w:rPr>
      </w:r>
    </w:p>
    <w:p>
      <w:pPr>
        <w:pStyle w:val="1022"/>
        <w:numPr>
          <w:ilvl w:val="0"/>
          <w:numId w:val="69"/>
        </w:numPr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Существенные условия договора об осуществлении технологического присоединения.</w:t>
      </w:r>
      <w:r>
        <w:rPr>
          <w:rFonts w:ascii="Times New Roman" w:hAnsi="Times New Roman"/>
          <w:sz w:val="24"/>
          <w:szCs w:val="24"/>
        </w:rPr>
      </w:r>
    </w:p>
    <w:p>
      <w:pPr>
        <w:pStyle w:val="1022"/>
        <w:numPr>
          <w:ilvl w:val="0"/>
          <w:numId w:val="69"/>
        </w:numPr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 как неотъемлемая часть договора об осуществлении технологического присоединения. </w:t>
      </w:r>
      <w:r>
        <w:rPr>
          <w:rFonts w:ascii="Times New Roman" w:hAnsi="Times New Roman"/>
          <w:sz w:val="24"/>
          <w:szCs w:val="24"/>
        </w:rPr>
      </w:r>
    </w:p>
    <w:p>
      <w:pPr>
        <w:pStyle w:val="1022"/>
        <w:numPr>
          <w:ilvl w:val="0"/>
          <w:numId w:val="69"/>
        </w:numPr>
        <w:ind w:left="0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оплаты технологического присоединения.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line="240" w:lineRule="auto"/>
        <w:tabs>
          <w:tab w:val="left" w:pos="709" w:leader="none"/>
          <w:tab w:val="left" w:pos="851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left="1070"/>
        <w:jc w:val="center"/>
        <w:shd w:val="clear" w:color="auto" w:fill="ffffff"/>
        <w:rPr>
          <w:rFonts w:ascii="Times New Roman" w:hAnsi="Times New Roman" w:eastAsiaTheme="minorHAnsi"/>
          <w:bCs/>
          <w:sz w:val="24"/>
          <w:szCs w:val="24"/>
        </w:rPr>
      </w:pPr>
      <w:r>
        <w:rPr>
          <w:rFonts w:ascii="Times New Roman" w:hAnsi="Times New Roman" w:eastAsiaTheme="minorHAnsi"/>
          <w:bCs/>
          <w:sz w:val="24"/>
          <w:szCs w:val="24"/>
        </w:rPr>
        <w:t xml:space="preserve">7. РЕСУРСНОЕ ОБЕСПЕЧЕНИЕ ПРОГРАММЫ</w:t>
      </w:r>
      <w:r>
        <w:rPr>
          <w:rFonts w:ascii="Times New Roman" w:hAnsi="Times New Roman" w:eastAsiaTheme="minorHAnsi"/>
          <w:bCs/>
          <w:sz w:val="24"/>
          <w:szCs w:val="24"/>
        </w:rPr>
      </w:r>
    </w:p>
    <w:p>
      <w:pPr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7.1 Учебно-методическое и информационное обеспечение программы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widowControl w:val="off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Таблица 7.1.1 – Учебно-методическое обеспечение программы</w:t>
      </w:r>
      <w:r>
        <w:rPr>
          <w:rFonts w:ascii="Times New Roman" w:hAnsi="Times New Roman"/>
          <w:sz w:val="24"/>
          <w:szCs w:val="24"/>
          <w:lang w:bidi="ru-RU"/>
        </w:rPr>
      </w:r>
    </w:p>
    <w:tbl>
      <w:tblPr>
        <w:tblStyle w:val="1024"/>
        <w:tblW w:w="9070" w:type="dxa"/>
        <w:tblInd w:w="28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2123"/>
      </w:tblGrid>
      <w:tr>
        <w:tblPrEx/>
        <w:trPr>
          <w:trHeight w:val="7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ind w:right="163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  <w:t xml:space="preserve">Библиографическое описание издания 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r>
          </w:p>
          <w:p>
            <w:pPr>
              <w:ind w:right="163"/>
              <w:jc w:val="center"/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  <w:t xml:space="preserve">(автор, заглавие, вид, место и год издания, кол. стр.)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3" w:type="dxa"/>
            <w:vAlign w:val="center"/>
            <w:textDirection w:val="lrTb"/>
            <w:noWrap w:val="false"/>
          </w:tcPr>
          <w:p>
            <w:pPr>
              <w:ind w:right="41"/>
              <w:jc w:val="center"/>
              <w:spacing w:before="127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Электронные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ресурсы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Актуальные задачи энергетического права и современной правовой науки: монография/под ред. д-ра юрид. наук, профессора В.В. Романовой. — </w:t>
            </w:r>
            <w:r>
              <w:rPr>
                <w:rFonts w:ascii="Times New Roman" w:hAnsi="Times New Roman"/>
              </w:rPr>
              <w:t xml:space="preserve">M</w:t>
            </w:r>
            <w:r>
              <w:rPr>
                <w:rFonts w:ascii="Times New Roman" w:hAnsi="Times New Roman"/>
                <w:lang w:val="ru-RU"/>
              </w:rPr>
              <w:t xml:space="preserve">.: Автономная некоммерческая организация «Научно-исследовательский «Центр </w:t>
            </w:r>
            <w:r>
              <w:rPr>
                <w:rFonts w:ascii="Times New Roman" w:hAnsi="Times New Roman"/>
                <w:lang w:val="ru-RU"/>
              </w:rPr>
              <w:t xml:space="preserve">развития  энергетического</w:t>
            </w:r>
            <w:r>
              <w:rPr>
                <w:rFonts w:ascii="Times New Roman" w:hAnsi="Times New Roman"/>
                <w:lang w:val="ru-RU"/>
              </w:rPr>
              <w:t xml:space="preserve"> права и современной правовой науки имени В.А. Мусина»,  2024. — 400 с.</w:t>
            </w:r>
            <w:r>
              <w:rPr>
                <w:rFonts w:ascii="Times New Roman" w:hAnsi="Times New Roman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ЭБС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IPR-books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Align w:val="center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Правовое обеспечение реализации климатических проектов в Российской Федера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ции и за рубежом: монография/под редакцией д-ра юрид. Наук, профессора В. В. Романовой. — М.: Автономная некоммерческая организация Научно-исследовательский «Центр развития энергетического права и современной правовой науки имени В.А. Мусина», 2023. — 560 </w:t>
            </w:r>
            <w:r>
              <w:rPr>
                <w:rFonts w:ascii="Times New Roman" w:hAnsi="Times New Roman"/>
                <w:szCs w:val="24"/>
              </w:rPr>
              <w:t xml:space="preserve">c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ЭБС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  <w:t xml:space="preserve">IPR-books</w:t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</w:r>
          </w:p>
          <w:p>
            <w:pPr>
              <w:jc w:val="center"/>
              <w:rPr>
                <w:rFonts w:ascii="Times New Roman" w:hAnsi="Times New Roman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Cs w:val="24"/>
                <w:shd w:val="clear" w:color="auto" w:fill="ffffff"/>
              </w:rPr>
            </w:r>
            <w:r>
              <w:rPr>
                <w:rFonts w:ascii="Times New Roman" w:hAnsi="Times New Roman"/>
                <w:szCs w:val="24"/>
                <w:shd w:val="clear" w:color="auto" w:fill="ffffff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vAlign w:val="center"/>
            <w:textDirection w:val="lrTb"/>
            <w:noWrap w:val="false"/>
          </w:tcPr>
          <w:p>
            <w:pPr>
              <w:ind w:right="1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Актуальные задачи энергетического права/ монография под 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ред.В.В.Романовой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. М.: ООО «Интеграция: Образование и Наука».2022.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254 с.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ЭБС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-12" w:right="41"/>
              <w:jc w:val="center"/>
              <w:spacing w:before="1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IPR-books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Романова В.В. Энергетический правопорядок: современное состояние и задачи: [монография] Москва: Издательство «Юрист», 2016. – 253 с.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3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ЭБС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IPR-books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Романова В.В. Энергетическое право: учебник для подготовки кадров высшей квалификации / В.В. Романова. — Москва: Издательская группа «Юрист», 2021. — 288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c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3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ЭБС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IPR-books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118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Энергетические рынки: проблемы и задачи правового регулирования: монография / В.В. Романова, А.Б. Бондаренко, А.Б. Ананьев [и др.]; под редакцией В.В. Романовой. — Москва: Издательство «Юрист», 2018. — 240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c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3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ЭБС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IPR-books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42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облемы и задачи правового обеспечения энергетической безопасности и защиты прав участников энергетических рынков: монография / В.В. Романова, И.В. Гудков, Ю.В. Липин [и др.]; под редакцией В.В. Романовой. — Москва: Издательская группа «Юрист», 2019. — 264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c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3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ЭБС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IPR-books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4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Бородавко А.А. Правоприменительная практика по договору технологического присоединения к электрическим сетям.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// Правовой энергетический форум, 2024. № 2, С. 80-87.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https://mlcjournal.ru/s231243500031376-1-1/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4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Бородавко А.А. Правовая природа договора технологического присоединения к электрическим сетям.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// Правовой энергетический форум, 2024. № 4, С. 66-74.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https://mlcjournal.ru/s231243500033335-6-1/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</w:r>
          </w:p>
        </w:tc>
      </w:tr>
      <w:tr>
        <w:tblPrEx/>
        <w:trPr>
          <w:trHeight w:val="81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7" w:type="dxa"/>
            <w:textDirection w:val="lrTb"/>
            <w:noWrap w:val="false"/>
          </w:tcPr>
          <w:p>
            <w:pPr>
              <w:ind w:left="57"/>
              <w:jc w:val="both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Смагин А.В. 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Виды правовых средств, обеспечивающих регулирование экономических отношений в электроэнергетике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// 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Правовой энергетический форум.2024. № 3. С. 89-96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3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/>
            <w:hyperlink r:id="rId11" w:tooltip="https://mlcjournal.ru/s231243500032451-4-1/" w:history="1">
              <w:r>
                <w:rPr>
                  <w:rStyle w:val="1023"/>
                  <w:rFonts w:ascii="Times New Roman" w:hAnsi="Times New Roman"/>
                  <w:sz w:val="24"/>
                  <w:szCs w:val="24"/>
                  <w:lang w:val="ru-RU"/>
                </w:rPr>
                <w:t xml:space="preserve">https://mlcjournal.ru/s231243500032451-4-1/</w:t>
              </w:r>
            </w:hyperlink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Merge w:val="restart"/>
            <w:textDirection w:val="lrTb"/>
            <w:noWrap w:val="false"/>
          </w:tcPr>
          <w:p>
            <w:pPr>
              <w:ind w:left="57"/>
              <w:jc w:val="both"/>
              <w:tabs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 w:bidi="ru-RU"/>
              </w:rPr>
              <w:t xml:space="preserve">Городов О. А. Договор энергоснабжения через присоединенную сеть. // Правовой энергетический форум, 2023. № 4, С.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ru-RU" w:bidi="ru-RU"/>
              </w:rPr>
              <w:t xml:space="preserve"> 36-45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t xml:space="preserve">https://mlcjournal.ru/s231243500029317-6-1/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</w:p>
        </w:tc>
      </w:tr>
      <w:tr>
        <w:tblPrEx/>
        <w:trPr>
          <w:trHeight w:val="8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vMerge w:val="restart"/>
            <w:textDirection w:val="lrTb"/>
            <w:noWrap w:val="false"/>
          </w:tcPr>
          <w:p>
            <w:pPr>
              <w:ind w:left="57"/>
              <w:jc w:val="both"/>
              <w:tabs>
                <w:tab w:val="left" w:pos="993" w:leader="none"/>
              </w:tabs>
              <w:rPr>
                <w:rFonts w:ascii="Times New Roman" w:hAnsi="Times New Roman"/>
                <w:sz w:val="28"/>
                <w:szCs w:val="28"/>
                <w:highlight w:val="cyan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 w:bidi="ru-RU"/>
              </w:rPr>
              <w:t xml:space="preserve">Смагин А.В. Договор об осуществлении технологического присоединения, как самостоятельная сделка в электроэнергетике: актуальные проблемы. // Энергетика и право, 2013, №№ 2, 3.</w:t>
            </w:r>
            <w:r>
              <w:rPr>
                <w:rFonts w:ascii="Times New Roman" w:hAnsi="Times New Roman"/>
                <w:sz w:val="28"/>
                <w:szCs w:val="28"/>
                <w:highlight w:val="cyan"/>
                <w:lang w:val="ru-RU" w:bidi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eLibrary: 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  <w:t xml:space="preserve">https://www.elibrary.ru/item.asp?id=39379346</w:t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  <w:lang w:val="en-US"/>
              </w:rPr>
            </w:r>
          </w:p>
        </w:tc>
      </w:tr>
      <w:tr>
        <w:tblPrEx/>
        <w:trPr>
          <w:trHeight w:val="8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7" w:type="dxa"/>
            <w:textDirection w:val="lrTb"/>
            <w:noWrap w:val="false"/>
          </w:tcPr>
          <w:p>
            <w:pPr>
              <w:ind w:left="57"/>
              <w:jc w:val="both"/>
              <w:tabs>
                <w:tab w:val="left" w:pos="993" w:leader="none"/>
              </w:tabs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  <w:lang w:val="ru-RU" w:bidi="ru-RU"/>
              </w:rPr>
              <w:t xml:space="preserve">Смагин А.В. Сетевые организации в Российской электроэнергетике: понятие, признаки. </w:t>
            </w:r>
            <w:bookmarkStart w:id="7" w:name="undefined"/>
            <w:r>
              <w:rPr>
                <w:rFonts w:ascii="Times New Roman" w:hAnsi="Times New Roman"/>
                <w:sz w:val="24"/>
                <w:szCs w:val="24"/>
                <w:highlight w:val="none"/>
                <w:lang w:val="ru-RU" w:bidi="ru-RU"/>
              </w:rPr>
              <w:t xml:space="preserve">// Энергетика и право, 2012, № 2.</w:t>
            </w:r>
            <w:bookmarkEnd w:id="7"/>
            <w:r>
              <w:rPr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val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eLibrary</w:t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  <w:br/>
            </w:r>
            <w:hyperlink r:id="rId12" w:tooltip="https://www.elibrary.ru/item.asp?id=39250401" w:history="1">
              <w:r>
                <w:rPr>
                  <w:rStyle w:val="1023"/>
                  <w:rFonts w:ascii="Times New Roman" w:hAnsi="Times New Roman"/>
                  <w:sz w:val="24"/>
                  <w:szCs w:val="24"/>
                  <w:lang w:val="ru-RU" w:bidi="ru-RU"/>
                </w:rPr>
                <w:t xml:space="preserve">https://www.elibrary.ru/item.asp?id=39250401</w:t>
              </w:r>
            </w:hyperlink>
            <w:r/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 w:bidi="ru-RU"/>
              </w:rPr>
            </w:r>
          </w:p>
        </w:tc>
      </w:tr>
    </w:tbl>
    <w:p>
      <w:pPr>
        <w:spacing w:before="6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Таблица 7.1.2 – Перечень современных профессиональных баз данных (СПБД)</w:t>
      </w:r>
      <w:r>
        <w:rPr>
          <w:rFonts w:ascii="Times New Roman" w:hAnsi="Times New Roman"/>
          <w:sz w:val="24"/>
          <w:szCs w:val="24"/>
        </w:rPr>
      </w:r>
    </w:p>
    <w:tbl>
      <w:tblPr>
        <w:tblStyle w:val="1025"/>
        <w:tblW w:w="0" w:type="auto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682"/>
      </w:tblGrid>
      <w:tr>
        <w:tblPrEx/>
        <w:trPr>
          <w:trHeight w:val="3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ind w:left="30"/>
              <w:jc w:val="center"/>
              <w:spacing w:line="26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п/п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ind w:left="3214" w:right="3190"/>
              <w:jc w:val="center"/>
              <w:spacing w:before="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СПБД</w:t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ind w:left="158"/>
              <w:spacing w:line="26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Реферативная и справочная база данных рецензируемой литературы </w:t>
            </w:r>
            <w:r>
              <w:rPr>
                <w:rFonts w:ascii="Times New Roman" w:hAnsi="Times New Roman"/>
              </w:rPr>
              <w:t xml:space="preserve">Scopus</w:t>
            </w:r>
            <w:r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</w:r>
          </w:p>
          <w:p>
            <w:pPr>
              <w:ind w:left="158"/>
              <w:spacing w:line="268" w:lineRule="exact"/>
              <w:rPr>
                <w:rFonts w:ascii="Times New Roman" w:hAnsi="Times New Roman"/>
              </w:rPr>
            </w:pPr>
            <w:r/>
            <w:hyperlink r:id="rId13" w:tooltip="https://www.scopus.com/" w:history="1">
              <w:r>
                <w:rPr>
                  <w:rFonts w:ascii="Times New Roman" w:hAnsi="Times New Roman"/>
                </w:rPr>
                <w:t xml:space="preserve">https://www.scopus.com</w:t>
              </w:r>
            </w:hyperlink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ind w:left="158"/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Научная электронная библиотека eLIBRARY.RU - </w:t>
            </w:r>
            <w:hyperlink r:id="rId14" w:tooltip="http://www.elibrary.ru/" w:history="1">
              <w:r>
                <w:rPr>
                  <w:rFonts w:ascii="Times New Roman" w:hAnsi="Times New Roman"/>
                </w:rPr>
                <w:t xml:space="preserve">www.elibrary.ru</w:t>
              </w:r>
            </w:hyperlink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ind w:left="158"/>
              <w:spacing w:before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Научная электронная библиотека «</w:t>
            </w:r>
            <w:r>
              <w:rPr>
                <w:rFonts w:ascii="Times New Roman" w:hAnsi="Times New Roman"/>
              </w:rPr>
              <w:t xml:space="preserve">КиберЛенинка</w:t>
            </w:r>
            <w:r>
              <w:rPr>
                <w:rFonts w:ascii="Times New Roman" w:hAnsi="Times New Roman"/>
              </w:rPr>
              <w:t xml:space="preserve">» - </w:t>
            </w:r>
            <w:hyperlink r:id="rId15" w:tooltip="https://cyberleninka.ru" w:history="1">
              <w:r>
                <w:rPr>
                  <w:rStyle w:val="1026"/>
                  <w:rFonts w:ascii="Times New Roman" w:hAnsi="Times New Roman"/>
                  <w:u w:val="none"/>
                </w:rPr>
                <w:t xml:space="preserve">https://cyberleninka.ru</w:t>
              </w:r>
            </w:hyperlink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 xml:space="preserve">Международная реферативная база данных научных изданий </w:t>
            </w:r>
            <w:r>
              <w:rPr>
                <w:rFonts w:ascii="Times New Roman" w:hAnsi="Times New Roman"/>
                <w:color w:val="0d0d0d"/>
                <w:highlight w:val="white"/>
              </w:rPr>
              <w:t xml:space="preserve">Web </w:t>
            </w:r>
            <w:r>
              <w:rPr>
                <w:rFonts w:ascii="Times New Roman" w:hAnsi="Times New Roman"/>
                <w:color w:val="0d0d0d"/>
                <w:highlight w:val="white"/>
              </w:rPr>
              <w:t xml:space="preserve">of</w:t>
            </w:r>
            <w:r>
              <w:rPr>
                <w:rFonts w:ascii="Times New Roman" w:hAnsi="Times New Roman"/>
                <w:color w:val="0d0d0d"/>
                <w:highlight w:val="white"/>
              </w:rPr>
              <w:t xml:space="preserve"> Science – </w:t>
            </w:r>
            <w:hyperlink r:id="rId16" w:tooltip="http://webofscience.com/" w:history="1">
              <w:r>
                <w:rPr>
                  <w:rStyle w:val="1026"/>
                  <w:rFonts w:ascii="Times New Roman" w:hAnsi="Times New Roman"/>
                  <w:color w:val="0d0d0d"/>
                  <w:highlight w:val="white"/>
                  <w:u w:val="none"/>
                </w:rPr>
                <w:t xml:space="preserve">http://webofscience.com</w:t>
              </w:r>
            </w:hyperlink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Университетская библиотека </w:t>
            </w:r>
            <w:r>
              <w:rPr>
                <w:rFonts w:ascii="Times New Roman" w:hAnsi="Times New Roman"/>
              </w:rPr>
              <w:t xml:space="preserve">on-line</w:t>
            </w:r>
            <w:r>
              <w:rPr>
                <w:rFonts w:ascii="Times New Roman" w:hAnsi="Times New Roman"/>
              </w:rPr>
              <w:t xml:space="preserve"> </w:t>
            </w:r>
            <w:hyperlink r:id="rId17" w:tooltip="https://biblioclub.ru/index.php?page=izd_n" w:history="1">
              <w:r>
                <w:rPr>
                  <w:rStyle w:val="1026"/>
                  <w:rFonts w:ascii="Times New Roman" w:hAnsi="Times New Roman"/>
                  <w:u w:val="none"/>
                </w:rPr>
                <w:t xml:space="preserve">https://biblioclub.ru/index.php?page=izd_n</w:t>
              </w:r>
            </w:hyperlink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нефтегазовая библиотека </w:t>
            </w:r>
            <w:hyperlink r:id="rId18" w:tooltip="http://elib.gubkin.ru/" w:history="1">
              <w:r>
                <w:rPr>
                  <w:rStyle w:val="1026"/>
                  <w:rFonts w:ascii="Times New Roman" w:hAnsi="Times New Roman"/>
                  <w:u w:val="none"/>
                </w:rPr>
                <w:t xml:space="preserve">http://elib.gubkin.ru/</w:t>
              </w:r>
            </w:hyperlink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Президентская библиотека </w:t>
            </w:r>
            <w:hyperlink r:id="rId19" w:tooltip="https://www.prlib.ru/" w:history="1">
              <w:r>
                <w:rPr>
                  <w:rStyle w:val="1026"/>
                  <w:rFonts w:ascii="Times New Roman" w:hAnsi="Times New Roman"/>
                  <w:u w:val="none"/>
                </w:rPr>
                <w:t xml:space="preserve">https://www.prlib.ru/</w:t>
              </w:r>
            </w:hyperlink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национальная библиотека </w:t>
            </w:r>
            <w:hyperlink r:id="rId20" w:tooltip="http://nlr.ru/" w:history="1">
              <w:r>
                <w:rPr>
                  <w:rStyle w:val="1026"/>
                  <w:rFonts w:ascii="Times New Roman" w:hAnsi="Times New Roman"/>
                  <w:u w:val="none"/>
                </w:rPr>
                <w:t xml:space="preserve">http://nlr.ru/</w:t>
              </w:r>
            </w:hyperlink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Российская государственная библиотека </w:t>
            </w:r>
            <w:hyperlink r:id="rId21" w:tooltip="https://www.rsl.ru/" w:history="1">
              <w:r>
                <w:rPr>
                  <w:rStyle w:val="1026"/>
                  <w:rFonts w:ascii="Times New Roman" w:hAnsi="Times New Roman"/>
                  <w:u w:val="none"/>
                </w:rPr>
                <w:t xml:space="preserve">https://www.rsl.ru/</w:t>
              </w:r>
            </w:hyperlink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  <w:rPr>
                <w:rFonts w:ascii="Times New Roman" w:hAnsi="Times New Roman"/>
              </w:rPr>
            </w:pPr>
            <w:r/>
            <w:hyperlink r:id="rId22" w:tooltip="http://www.inion.ru/" w:history="1">
              <w:r>
                <w:rPr>
                  <w:rFonts w:ascii="Times New Roman" w:hAnsi="Times New Roman"/>
                </w:rPr>
                <w:t xml:space="preserve">Институт научной информации по общественным наукам РАН (ИНИОН)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hyperlink r:id="rId23" w:tooltip="http://inion.ru/" w:history="1">
              <w:r>
                <w:rPr>
                  <w:rStyle w:val="1026"/>
                  <w:rFonts w:ascii="Times New Roman" w:hAnsi="Times New Roman"/>
                  <w:u w:val="none"/>
                </w:rPr>
                <w:t xml:space="preserve">http://inion.ru/</w:t>
              </w:r>
            </w:hyperlink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ind w:left="158"/>
              <w:tabs>
                <w:tab w:val="left" w:pos="851" w:leader="none"/>
              </w:tabs>
              <w:rPr>
                <w:rFonts w:ascii="Times New Roman" w:hAnsi="Times New Roman"/>
              </w:rPr>
            </w:pPr>
            <w:r/>
            <w:hyperlink r:id="rId24" w:tooltip="http://www.pl.spb.ru/" w:history="1">
              <w:r>
                <w:rPr>
                  <w:rFonts w:ascii="Times New Roman" w:hAnsi="Times New Roman"/>
                </w:rPr>
                <w:t xml:space="preserve">Центральная городская публичная библиотека им. В.В. Маяковского</w:t>
              </w:r>
            </w:hyperlink>
            <w:r/>
            <w:r>
              <w:rPr>
                <w:rFonts w:ascii="Times New Roman" w:hAnsi="Times New Roman"/>
              </w:rPr>
            </w:r>
          </w:p>
          <w:p>
            <w:pPr>
              <w:ind w:left="158"/>
              <w:tabs>
                <w:tab w:val="left" w:pos="0" w:leader="none"/>
              </w:tabs>
              <w:rPr>
                <w:rFonts w:ascii="Times New Roman" w:hAnsi="Times New Roman"/>
              </w:rPr>
            </w:pPr>
            <w:r/>
            <w:hyperlink r:id="rId25" w:tooltip="https://pl.spb.ru/" w:history="1">
              <w:r>
                <w:rPr>
                  <w:rStyle w:val="1026"/>
                  <w:rFonts w:ascii="Times New Roman" w:hAnsi="Times New Roman"/>
                  <w:u w:val="none"/>
                </w:rPr>
                <w:t xml:space="preserve">https://pl.spb.ru/</w:t>
              </w:r>
            </w:hyperlink>
            <w:r/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82" w:type="dxa"/>
            <w:textDirection w:val="lrTb"/>
            <w:noWrap w:val="false"/>
          </w:tcPr>
          <w:p>
            <w:pPr>
              <w:ind w:left="158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База данных о библиотечных фондах </w:t>
            </w:r>
            <w:hyperlink r:id="rId26" w:tooltip="file:///C:/ЦентрЭнергПрава/ОПОП_Корп_конкур%20и%20энерг%20право_2019/РПД_2019/WorldCat" w:history="1">
              <w:r>
                <w:rPr>
                  <w:rStyle w:val="1026"/>
                  <w:rFonts w:ascii="Times New Roman" w:hAnsi="Times New Roman"/>
                  <w:u w:val="none"/>
                </w:rPr>
                <w:t xml:space="preserve">WorldCat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hyperlink r:id="rId27" w:tooltip="https://www.worldcat.org/" w:history="1">
              <w:r>
                <w:rPr>
                  <w:rStyle w:val="1026"/>
                  <w:rFonts w:ascii="Times New Roman" w:hAnsi="Times New Roman"/>
                  <w:u w:val="none"/>
                </w:rPr>
                <w:t xml:space="preserve">https://www.worldcat.org/</w:t>
              </w:r>
            </w:hyperlink>
            <w:r/>
            <w:r>
              <w:rPr>
                <w:rFonts w:ascii="Times New Roman" w:hAnsi="Times New Roman"/>
              </w:rPr>
            </w:r>
          </w:p>
        </w:tc>
      </w:tr>
    </w:tbl>
    <w:p>
      <w:pPr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Таблица 7.1.3 – Перечень информационных справочных систем (ИСС) </w:t>
      </w:r>
      <w:r>
        <w:rPr>
          <w:rFonts w:ascii="Times New Roman" w:hAnsi="Times New Roman"/>
          <w:sz w:val="24"/>
          <w:szCs w:val="24"/>
        </w:rPr>
      </w:r>
    </w:p>
    <w:tbl>
      <w:tblPr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6"/>
        <w:gridCol w:w="925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Наименование ИСС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  <w:t xml:space="preserve">Справочная правовая система КонсультантПлюс - </w:t>
            </w:r>
            <w:hyperlink r:id="rId28" w:tooltip="http://www.consultant.ru" w:history="1">
              <w:r>
                <w:rPr>
                  <w:rStyle w:val="1023"/>
                  <w:rFonts w:ascii="Times New Roman" w:hAnsi="Times New Roman"/>
                  <w:sz w:val="24"/>
                  <w:szCs w:val="24"/>
                  <w:lang w:bidi="ru-RU"/>
                </w:rPr>
                <w:t xml:space="preserve">www.consultant.ru</w:t>
              </w:r>
            </w:hyperlink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  <w:t xml:space="preserve">Справочная правовая система «ГАРАНТ» - </w:t>
            </w:r>
            <w:hyperlink r:id="rId29" w:tooltip="http://www.garant.ru" w:history="1">
              <w:r>
                <w:rPr>
                  <w:rStyle w:val="1023"/>
                  <w:rFonts w:ascii="Times New Roman" w:hAnsi="Times New Roman"/>
                  <w:sz w:val="24"/>
                  <w:szCs w:val="24"/>
                  <w:lang w:bidi="ru-RU"/>
                </w:rPr>
                <w:t xml:space="preserve">http://www.garant.ru</w:t>
              </w:r>
            </w:hyperlink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bidi="ru-RU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5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Информационно-справочная система «Ко</w:t>
            </w:r>
            <w:r>
              <w:rPr>
                <w:rFonts w:ascii="Times New Roman" w:hAnsi="Times New Roman"/>
                <w:color w:val="0d0d0d"/>
                <w:sz w:val="24"/>
                <w:szCs w:val="24"/>
                <w:lang w:bidi="ru-RU"/>
              </w:rPr>
              <w:t xml:space="preserve">декс» - </w:t>
            </w:r>
            <w:hyperlink r:id="rId30" w:tooltip="http://www.kodeks.ru" w:history="1">
              <w:r>
                <w:rPr>
                  <w:rStyle w:val="1023"/>
                  <w:rFonts w:ascii="Times New Roman" w:hAnsi="Times New Roman"/>
                  <w:sz w:val="24"/>
                  <w:szCs w:val="24"/>
                  <w:lang w:bidi="ru-RU"/>
                </w:rPr>
                <w:t xml:space="preserve">http://</w:t>
              </w:r>
              <w:r>
                <w:rPr>
                  <w:rStyle w:val="1023"/>
                  <w:rFonts w:ascii="Times New Roman" w:hAnsi="Times New Roman"/>
                  <w:sz w:val="24"/>
                  <w:szCs w:val="24"/>
                  <w:lang w:val="en-US" w:bidi="ru-RU"/>
                </w:rPr>
                <w:t xml:space="preserve">www</w:t>
              </w:r>
              <w:r>
                <w:rPr>
                  <w:rStyle w:val="1023"/>
                  <w:rFonts w:ascii="Times New Roman" w:hAnsi="Times New Roman"/>
                  <w:sz w:val="24"/>
                  <w:szCs w:val="24"/>
                  <w:lang w:bidi="ru-RU"/>
                </w:rPr>
                <w:t xml:space="preserve">.kodeks.ru</w:t>
              </w:r>
            </w:hyperlink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</w:r>
          </w:p>
        </w:tc>
      </w:tr>
    </w:tbl>
    <w:p>
      <w:pPr>
        <w:spacing w:line="36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line="36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Таблица 9.1.4 – Перечень электронных библиотечных систем (ЭБС) </w:t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070"/>
      </w:tblGrid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</w:rPr>
              <w:t xml:space="preserve">№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</w:rPr>
              <w:t xml:space="preserve">п/п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</w:rPr>
              <w:t xml:space="preserve">Наименование ИСС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</w:rPr>
              <w:t xml:space="preserve">1.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</w:rPr>
              <w:t xml:space="preserve">Электронная библиотечная система IPR-books.ru - </w:t>
            </w:r>
            <w:hyperlink r:id="rId31" w:tooltip="http://www.iprbookshop.ru/" w:history="1">
              <w:r>
                <w:rPr>
                  <w:rFonts w:ascii="Times New Roman" w:hAnsi="Times New Roman"/>
                  <w:color w:val="0d0d0d"/>
                </w:rPr>
                <w:t xml:space="preserve">http://www.iprbookshop.ru/</w:t>
              </w:r>
            </w:hyperlink>
            <w:r>
              <w:rPr>
                <w:rFonts w:ascii="Times New Roman" w:hAnsi="Times New Roman"/>
                <w:color w:val="0d0d0d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</w:rPr>
              <w:t xml:space="preserve">2.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</w:rPr>
              <w:t xml:space="preserve">Электронная библиотечная система Проспект </w:t>
            </w:r>
            <w:hyperlink r:id="rId32" w:tooltip="http://ebs.prospekt.org/books" w:history="1">
              <w:r>
                <w:rPr>
                  <w:rFonts w:ascii="Times New Roman" w:hAnsi="Times New Roman"/>
                  <w:color w:val="0d0d0d"/>
                </w:rPr>
                <w:t xml:space="preserve">http://ebs.prospekt.org/books</w:t>
              </w:r>
            </w:hyperlink>
            <w:r>
              <w:rPr>
                <w:rFonts w:ascii="Times New Roman" w:hAnsi="Times New Roman"/>
                <w:color w:val="0d0d0d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</w:rPr>
              <w:t xml:space="preserve">3.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</w:rPr>
              <w:t xml:space="preserve">Электронная библиотечная система </w:t>
            </w:r>
            <w:r>
              <w:rPr>
                <w:rFonts w:ascii="Times New Roman" w:hAnsi="Times New Roman"/>
                <w:color w:val="0d0d0d"/>
              </w:rPr>
              <w:t xml:space="preserve">Юстицинформ</w:t>
            </w:r>
            <w:r>
              <w:rPr>
                <w:rFonts w:ascii="Times New Roman" w:hAnsi="Times New Roman"/>
                <w:color w:val="0d0d0d"/>
              </w:rPr>
              <w:t xml:space="preserve"> </w:t>
            </w:r>
            <w:hyperlink r:id="rId33" w:tooltip="https://elknigi.ru/" w:history="1">
              <w:r>
                <w:rPr>
                  <w:rFonts w:ascii="Times New Roman" w:hAnsi="Times New Roman"/>
                  <w:color w:val="0d0d0d"/>
                </w:rPr>
                <w:t xml:space="preserve">https://elknigi.ru/</w:t>
              </w:r>
            </w:hyperlink>
            <w:r>
              <w:rPr>
                <w:rFonts w:ascii="Times New Roman" w:hAnsi="Times New Roman"/>
                <w:color w:val="0d0d0d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</w:r>
          </w:p>
        </w:tc>
      </w:tr>
      <w:tr>
        <w:tblPrEx/>
        <w:trPr>
          <w:trHeight w:val="26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</w:rPr>
              <w:t xml:space="preserve">4.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</w:rPr>
              <w:t xml:space="preserve">Электронная библиотечная система BOOK.ru - </w:t>
            </w:r>
            <w:hyperlink r:id="rId34" w:tooltip="http://www.book.ru" w:history="1">
              <w:r>
                <w:rPr>
                  <w:rFonts w:ascii="Times New Roman" w:hAnsi="Times New Roman"/>
                  <w:color w:val="0d0d0d"/>
                </w:rPr>
                <w:t xml:space="preserve">http://www.book.ru</w:t>
              </w:r>
            </w:hyperlink>
            <w:r>
              <w:rPr>
                <w:rFonts w:ascii="Times New Roman" w:hAnsi="Times New Roman"/>
                <w:color w:val="0d0d0d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</w:r>
          </w:p>
        </w:tc>
      </w:tr>
      <w:tr>
        <w:tblPrEx/>
        <w:trPr>
          <w:trHeight w:val="5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</w:rPr>
              <w:t xml:space="preserve">5.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</w:rPr>
              <w:t xml:space="preserve">Электронная библиотечная система ЭБС ЮРАЙТ – </w:t>
            </w:r>
            <w:hyperlink r:id="rId35" w:tooltip="http://www.urait.ru" w:history="1">
              <w:r>
                <w:rPr>
                  <w:rFonts w:ascii="Times New Roman" w:hAnsi="Times New Roman"/>
                  <w:color w:val="0d0d0d"/>
                </w:rPr>
                <w:t xml:space="preserve">http://www.urait.ru</w:t>
              </w:r>
            </w:hyperlink>
            <w:r>
              <w:rPr>
                <w:rFonts w:ascii="Times New Roman" w:hAnsi="Times New Roman"/>
                <w:color w:val="0d0d0d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</w:r>
          </w:p>
        </w:tc>
      </w:tr>
      <w:tr>
        <w:tblPrEx/>
        <w:trPr>
          <w:trHeight w:val="57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</w:rPr>
              <w:t xml:space="preserve">6.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0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color w:val="0d0d0d"/>
              </w:rPr>
              <w:t xml:space="preserve">Электронная библиотечная система ЗНАНИУМ (ZNANIUM) - </w:t>
            </w:r>
            <w:hyperlink r:id="rId36" w:tooltip="http://www.znanium.com" w:history="1">
              <w:r>
                <w:rPr>
                  <w:rFonts w:ascii="Times New Roman" w:hAnsi="Times New Roman"/>
                  <w:color w:val="0d0d0d"/>
                </w:rPr>
                <w:t xml:space="preserve">http://www.znanium.com</w:t>
              </w:r>
            </w:hyperlink>
            <w:r>
              <w:rPr>
                <w:rFonts w:ascii="Times New Roman" w:hAnsi="Times New Roman"/>
                <w:color w:val="0d0d0d"/>
              </w:rPr>
              <w:t xml:space="preserve"> </w:t>
            </w:r>
            <w:r>
              <w:rPr>
                <w:rFonts w:ascii="Times New Roman" w:hAnsi="Times New Roman"/>
                <w:color w:val="0d0d0d"/>
                <w:sz w:val="28"/>
                <w:szCs w:val="28"/>
              </w:rPr>
            </w:r>
          </w:p>
        </w:tc>
      </w:tr>
    </w:tbl>
    <w:p>
      <w:pPr>
        <w:jc w:val="both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7.2 Материально-техническое обеспечение учебного процесса</w:t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данной программы созданы</w:t>
      </w:r>
      <w:r>
        <w:rPr>
          <w:rFonts w:ascii="Times New Roman" w:hAnsi="Times New Roman"/>
          <w:sz w:val="24"/>
          <w:szCs w:val="24"/>
        </w:rPr>
        <w:t xml:space="preserve"> условия с использованием дистанционных образовательных технологий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для самостоятельной работы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7.2.1 – Перечень программного обеспечения (ПО) </w:t>
      </w:r>
      <w:r>
        <w:rPr>
          <w:rFonts w:ascii="Times New Roman" w:hAnsi="Times New Roman"/>
          <w:sz w:val="24"/>
          <w:szCs w:val="24"/>
        </w:rPr>
      </w:r>
    </w:p>
    <w:tbl>
      <w:tblPr>
        <w:tblW w:w="467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9159"/>
      </w:tblGrid>
      <w:tr>
        <w:tblPrEx/>
        <w:trPr>
          <w:trHeight w:val="67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№ п/п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58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Наименование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iCs/>
                <w:sz w:val="24"/>
                <w:szCs w:val="24"/>
                <w:lang w:bidi="ru-RU"/>
              </w:rPr>
              <w:t xml:space="preserve"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5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P7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-офис. Профессиональный (Сертификат 2203/1645).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iCs/>
                <w:sz w:val="24"/>
                <w:szCs w:val="24"/>
                <w:lang w:bidi="ru-RU"/>
              </w:rPr>
              <w:t xml:space="preserve"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5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Windows 11 Pro</w:t>
            </w:r>
            <w:r>
              <w:rPr>
                <w:rFonts w:ascii="Times New Roman" w:hAnsi="Times New Roman" w:eastAsiaTheme="minorHAns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iCs/>
                <w:sz w:val="24"/>
                <w:szCs w:val="24"/>
                <w:lang w:val="en-US" w:bidi="ru-RU"/>
              </w:rPr>
              <w:t xml:space="preserve">3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5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/>
            <w:hyperlink r:id="rId37" w:tooltip="https://webinar.ru/" w:history="1">
              <w:r>
                <w:rPr>
                  <w:rStyle w:val="1023"/>
                  <w:rFonts w:ascii="Times New Roman" w:hAnsi="Times New Roman" w:eastAsiaTheme="minorHAnsi"/>
                  <w:sz w:val="24"/>
                  <w:szCs w:val="24"/>
                  <w:lang w:val="en-US" w:bidi="ru-RU"/>
                </w:rPr>
                <w:t xml:space="preserve">https://mts-link.ru/</w:t>
              </w:r>
            </w:hyperlink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36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iCs/>
                <w:sz w:val="24"/>
                <w:szCs w:val="24"/>
                <w:lang w:val="en-US" w:bidi="ru-RU"/>
              </w:rPr>
              <w:t xml:space="preserve">4</w:t>
            </w:r>
            <w:r>
              <w:rPr>
                <w:rFonts w:ascii="Times New Roman" w:hAnsi="Times New Roman"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58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7-Zip</w:t>
            </w:r>
            <w:r>
              <w:rPr>
                <w:rFonts w:ascii="Times New Roman" w:hAnsi="Times New Roman" w:eastAsiaTheme="minorHAnsi"/>
                <w:sz w:val="24"/>
                <w:szCs w:val="24"/>
                <w:lang w:bidi="ru-RU"/>
              </w:rPr>
              <w:t xml:space="preserve">, 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WinRar</w:t>
            </w:r>
            <w:r>
              <w:rPr>
                <w:rFonts w:ascii="Times New Roman" w:hAnsi="Times New Roman" w:eastAsiaTheme="minorHAnsi"/>
                <w:sz w:val="24"/>
                <w:szCs w:val="24"/>
                <w:lang w:val="en-US" w:bidi="ru-RU"/>
              </w:rPr>
              <w:t xml:space="preserve"> (freeware)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sectPr>
      <w:footerReference w:type="default" r:id="rId9"/>
      <w:footnotePr>
        <w:numFmt w:val="chicago"/>
      </w:footnotePr>
      <w:endnotePr/>
      <w:type w:val="nextPage"/>
      <w:pgSz w:w="11906" w:h="16838" w:orient="portrait"/>
      <w:pgMar w:top="1134" w:right="850" w:bottom="113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0207645"/>
      <w:docPartObj>
        <w:docPartGallery w:val="Page Numbers (Bottom of Page)"/>
        <w:docPartUnique w:val="true"/>
      </w:docPartObj>
      <w:rPr/>
    </w:sdtPr>
    <w:sdtContent>
      <w:p>
        <w:pPr>
          <w:pStyle w:val="10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  <w:r/>
      </w:p>
    </w:sdtContent>
  </w:sdt>
  <w:p>
    <w:pPr>
      <w:pStyle w:val="10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19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91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63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35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07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79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51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232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19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91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63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35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07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79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51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232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  <w:b w:val="0"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19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91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63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35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07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79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51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232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19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91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63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35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07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79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51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232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19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91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63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35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07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79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51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23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pStyle w:val="823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pStyle w:val="824"/>
      <w:isLgl w:val="false"/>
      <w:suff w:val="tab"/>
      <w:lvlText w:val="%1.%2."/>
      <w:lvlJc w:val="left"/>
      <w:pPr>
        <w:ind w:firstLine="720"/>
        <w:tabs>
          <w:tab w:val="num" w:pos="1152" w:leader="none"/>
        </w:tabs>
      </w:pPr>
      <w:rPr>
        <w:rFonts w:hint="default"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pStyle w:val="1011"/>
      <w:isLgl w:val="false"/>
      <w:suff w:val="tab"/>
      <w:lvlText w:val="%1.%2.%3."/>
      <w:lvlJc w:val="left"/>
      <w:pPr>
        <w:ind w:left="-141" w:firstLine="709"/>
        <w:tabs>
          <w:tab w:val="num" w:pos="568" w:leader="none"/>
        </w:tabs>
      </w:pPr>
      <w:rPr>
        <w:rFonts w:hint="default" w:ascii="Times New Roman" w:hAnsi="Times New Roman" w:cs="Times New Roman"/>
        <w:b w:val="0"/>
        <w:i w:val="0"/>
        <w:sz w:val="28"/>
      </w:rPr>
    </w:lvl>
    <w:lvl w:ilvl="3">
      <w:start w:val="1"/>
      <w:numFmt w:val="decimal"/>
      <w:pStyle w:val="1012"/>
      <w:isLgl w:val="false"/>
      <w:suff w:val="tab"/>
      <w:lvlText w:val="%1.%2.%3.%4."/>
      <w:lvlJc w:val="left"/>
      <w:pPr>
        <w:ind w:left="1432" w:hanging="864"/>
        <w:tabs>
          <w:tab w:val="num" w:pos="1432" w:leader="none"/>
        </w:tabs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 w:cs="Times New Roman"/>
      </w:r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4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19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91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63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35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07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79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51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232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num w:numId="1">
    <w:abstractNumId w:val="54"/>
  </w:num>
  <w:num w:numId="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3"/>
  </w:num>
  <w:num w:numId="8">
    <w:abstractNumId w:val="67"/>
  </w:num>
  <w:num w:numId="9">
    <w:abstractNumId w:val="68"/>
  </w:num>
  <w:num w:numId="10">
    <w:abstractNumId w:val="47"/>
  </w:num>
  <w:num w:numId="11">
    <w:abstractNumId w:val="60"/>
  </w:num>
  <w:num w:numId="12">
    <w:abstractNumId w:val="55"/>
  </w:num>
  <w:num w:numId="13">
    <w:abstractNumId w:val="53"/>
  </w:num>
  <w:num w:numId="14">
    <w:abstractNumId w:val="26"/>
  </w:num>
  <w:num w:numId="15">
    <w:abstractNumId w:val="64"/>
  </w:num>
  <w:num w:numId="16">
    <w:abstractNumId w:val="32"/>
  </w:num>
  <w:num w:numId="17">
    <w:abstractNumId w:val="4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19"/>
  </w:num>
  <w:num w:numId="24">
    <w:abstractNumId w:val="2"/>
  </w:num>
  <w:num w:numId="25">
    <w:abstractNumId w:val="0"/>
  </w:num>
  <w:num w:numId="26">
    <w:abstractNumId w:val="27"/>
  </w:num>
  <w:num w:numId="27">
    <w:abstractNumId w:val="16"/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46"/>
  </w:num>
  <w:num w:numId="32">
    <w:abstractNumId w:val="9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3"/>
  </w:num>
  <w:num w:numId="43">
    <w:abstractNumId w:val="41"/>
  </w:num>
  <w:num w:numId="44">
    <w:abstractNumId w:val="13"/>
  </w:num>
  <w:num w:numId="45">
    <w:abstractNumId w:val="38"/>
  </w:num>
  <w:num w:numId="46">
    <w:abstractNumId w:val="49"/>
  </w:num>
  <w:num w:numId="47">
    <w:abstractNumId w:val="59"/>
  </w:num>
  <w:num w:numId="48">
    <w:abstractNumId w:val="1"/>
  </w:num>
  <w:num w:numId="49">
    <w:abstractNumId w:val="17"/>
  </w:num>
  <w:num w:numId="50">
    <w:abstractNumId w:val="65"/>
  </w:num>
  <w:num w:numId="51">
    <w:abstractNumId w:val="57"/>
  </w:num>
  <w:num w:numId="52">
    <w:abstractNumId w:val="39"/>
  </w:num>
  <w:num w:numId="53">
    <w:abstractNumId w:val="8"/>
  </w:num>
  <w:num w:numId="54">
    <w:abstractNumId w:val="40"/>
  </w:num>
  <w:num w:numId="55">
    <w:abstractNumId w:val="43"/>
  </w:num>
  <w:num w:numId="56">
    <w:abstractNumId w:val="62"/>
  </w:num>
  <w:num w:numId="57">
    <w:abstractNumId w:val="7"/>
  </w:num>
  <w:num w:numId="58">
    <w:abstractNumId w:val="66"/>
  </w:num>
  <w:num w:numId="59">
    <w:abstractNumId w:val="18"/>
  </w:num>
  <w:num w:numId="60">
    <w:abstractNumId w:val="36"/>
  </w:num>
  <w:num w:numId="61">
    <w:abstractNumId w:val="25"/>
  </w:num>
  <w:num w:numId="62">
    <w:abstractNumId w:val="29"/>
  </w:num>
  <w:num w:numId="63">
    <w:abstractNumId w:val="5"/>
  </w:num>
  <w:num w:numId="64">
    <w:abstractNumId w:val="30"/>
  </w:num>
  <w:num w:numId="65">
    <w:abstractNumId w:val="20"/>
  </w:num>
  <w:num w:numId="66">
    <w:abstractNumId w:val="11"/>
  </w:num>
  <w:num w:numId="67">
    <w:abstractNumId w:val="24"/>
  </w:num>
  <w:num w:numId="68">
    <w:abstractNumId w:val="51"/>
  </w:num>
  <w:num w:numId="69">
    <w:abstractNumId w:val="61"/>
  </w:num>
  <w:num w:numId="70">
    <w:abstractNumId w:val="15"/>
  </w:num>
  <w:num w:numId="71">
    <w:abstractNumId w:val="31"/>
  </w:num>
  <w:num w:numId="72">
    <w:abstractNumId w:val="12"/>
  </w:num>
  <w:num w:numId="73">
    <w:abstractNumId w:val="50"/>
  </w:num>
  <w:num w:numId="74">
    <w:abstractNumId w:val="22"/>
  </w:num>
  <w:num w:numId="75">
    <w:abstractNumId w:val="23"/>
  </w:num>
  <w:num w:numId="7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5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822" w:default="1">
    <w:name w:val="Normal"/>
    <w:qFormat/>
    <w:rPr>
      <w:rFonts w:ascii="Calibri" w:hAnsi="Calibri" w:eastAsia="Times New Roman" w:cs="Times New Roman"/>
    </w:rPr>
  </w:style>
  <w:style w:type="paragraph" w:styleId="823">
    <w:name w:val="Heading 1"/>
    <w:basedOn w:val="822"/>
    <w:next w:val="822"/>
    <w:link w:val="1009"/>
    <w:qFormat/>
    <w:pPr>
      <w:numPr>
        <w:ilvl w:val="0"/>
        <w:numId w:val="1"/>
      </w:numPr>
      <w:jc w:val="right"/>
      <w:keepNext/>
      <w:spacing w:before="744" w:after="0" w:line="370" w:lineRule="exact"/>
      <w:shd w:val="clear" w:color="auto" w:fill="ffffff"/>
      <w:widowControl w:val="off"/>
      <w:outlineLvl w:val="0"/>
    </w:pPr>
    <w:rPr>
      <w:rFonts w:ascii="Times New Roman" w:hAnsi="Times New Roman" w:eastAsia="Calibri"/>
      <w:b/>
      <w:bCs/>
      <w:color w:val="000000"/>
      <w:spacing w:val="-3"/>
      <w:sz w:val="32"/>
      <w:szCs w:val="32"/>
      <w:lang w:eastAsia="ru-RU"/>
    </w:rPr>
  </w:style>
  <w:style w:type="paragraph" w:styleId="824">
    <w:name w:val="Heading 2"/>
    <w:basedOn w:val="822"/>
    <w:next w:val="822"/>
    <w:link w:val="1010"/>
    <w:qFormat/>
    <w:pPr>
      <w:numPr>
        <w:ilvl w:val="1"/>
        <w:numId w:val="1"/>
      </w:numPr>
      <w:keepNext/>
      <w:spacing w:after="0" w:line="240" w:lineRule="auto"/>
      <w:widowControl w:val="off"/>
      <w:outlineLvl w:val="1"/>
    </w:pPr>
    <w:rPr>
      <w:rFonts w:ascii="Times New Roman" w:hAnsi="Times New Roman" w:eastAsia="Calibri"/>
      <w:sz w:val="28"/>
      <w:szCs w:val="28"/>
      <w:lang w:eastAsia="ru-RU"/>
    </w:rPr>
  </w:style>
  <w:style w:type="paragraph" w:styleId="825">
    <w:name w:val="Heading 3"/>
    <w:basedOn w:val="822"/>
    <w:next w:val="822"/>
    <w:link w:val="84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26">
    <w:name w:val="Heading 4"/>
    <w:basedOn w:val="822"/>
    <w:next w:val="822"/>
    <w:link w:val="85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7">
    <w:name w:val="Heading 5"/>
    <w:basedOn w:val="822"/>
    <w:next w:val="822"/>
    <w:link w:val="85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8">
    <w:name w:val="Heading 6"/>
    <w:basedOn w:val="822"/>
    <w:next w:val="822"/>
    <w:link w:val="85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29">
    <w:name w:val="Heading 7"/>
    <w:basedOn w:val="822"/>
    <w:next w:val="822"/>
    <w:link w:val="85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30">
    <w:name w:val="Heading 8"/>
    <w:basedOn w:val="822"/>
    <w:next w:val="822"/>
    <w:link w:val="85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31">
    <w:name w:val="Heading 9"/>
    <w:basedOn w:val="822"/>
    <w:next w:val="822"/>
    <w:link w:val="85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2" w:default="1">
    <w:name w:val="Default Paragraph Font"/>
    <w:uiPriority w:val="1"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Heading 3 Char"/>
    <w:basedOn w:val="832"/>
    <w:uiPriority w:val="9"/>
    <w:rPr>
      <w:rFonts w:ascii="Arial" w:hAnsi="Arial" w:eastAsia="Arial" w:cs="Arial"/>
      <w:sz w:val="30"/>
      <w:szCs w:val="30"/>
    </w:rPr>
  </w:style>
  <w:style w:type="character" w:styleId="836" w:customStyle="1">
    <w:name w:val="Heading 4 Char"/>
    <w:basedOn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837" w:customStyle="1">
    <w:name w:val="Heading 5 Char"/>
    <w:basedOn w:val="832"/>
    <w:uiPriority w:val="9"/>
    <w:rPr>
      <w:rFonts w:ascii="Arial" w:hAnsi="Arial" w:eastAsia="Arial" w:cs="Arial"/>
      <w:b/>
      <w:bCs/>
      <w:sz w:val="24"/>
      <w:szCs w:val="24"/>
    </w:rPr>
  </w:style>
  <w:style w:type="character" w:styleId="838" w:customStyle="1">
    <w:name w:val="Heading 6 Char"/>
    <w:basedOn w:val="832"/>
    <w:uiPriority w:val="9"/>
    <w:rPr>
      <w:rFonts w:ascii="Arial" w:hAnsi="Arial" w:eastAsia="Arial" w:cs="Arial"/>
      <w:b/>
      <w:bCs/>
      <w:sz w:val="22"/>
      <w:szCs w:val="22"/>
    </w:rPr>
  </w:style>
  <w:style w:type="character" w:styleId="839" w:customStyle="1">
    <w:name w:val="Heading 7 Char"/>
    <w:basedOn w:val="8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0" w:customStyle="1">
    <w:name w:val="Heading 8 Char"/>
    <w:basedOn w:val="832"/>
    <w:uiPriority w:val="9"/>
    <w:rPr>
      <w:rFonts w:ascii="Arial" w:hAnsi="Arial" w:eastAsia="Arial" w:cs="Arial"/>
      <w:i/>
      <w:iCs/>
      <w:sz w:val="22"/>
      <w:szCs w:val="22"/>
    </w:rPr>
  </w:style>
  <w:style w:type="character" w:styleId="841" w:customStyle="1">
    <w:name w:val="Heading 9 Char"/>
    <w:basedOn w:val="832"/>
    <w:uiPriority w:val="9"/>
    <w:rPr>
      <w:rFonts w:ascii="Arial" w:hAnsi="Arial" w:eastAsia="Arial" w:cs="Arial"/>
      <w:i/>
      <w:iCs/>
      <w:sz w:val="21"/>
      <w:szCs w:val="21"/>
    </w:rPr>
  </w:style>
  <w:style w:type="character" w:styleId="842" w:customStyle="1">
    <w:name w:val="Title Char"/>
    <w:basedOn w:val="832"/>
    <w:uiPriority w:val="10"/>
    <w:rPr>
      <w:sz w:val="48"/>
      <w:szCs w:val="48"/>
    </w:rPr>
  </w:style>
  <w:style w:type="character" w:styleId="843" w:customStyle="1">
    <w:name w:val="Subtitle Char"/>
    <w:basedOn w:val="832"/>
    <w:uiPriority w:val="11"/>
    <w:rPr>
      <w:sz w:val="24"/>
      <w:szCs w:val="24"/>
    </w:rPr>
  </w:style>
  <w:style w:type="character" w:styleId="844" w:customStyle="1">
    <w:name w:val="Quote Char"/>
    <w:uiPriority w:val="29"/>
    <w:rPr>
      <w:i/>
    </w:rPr>
  </w:style>
  <w:style w:type="character" w:styleId="845" w:customStyle="1">
    <w:name w:val="Intense Quote Char"/>
    <w:uiPriority w:val="30"/>
    <w:rPr>
      <w:i/>
    </w:rPr>
  </w:style>
  <w:style w:type="character" w:styleId="846" w:customStyle="1">
    <w:name w:val="Endnote Text Char"/>
    <w:uiPriority w:val="99"/>
    <w:rPr>
      <w:sz w:val="20"/>
    </w:rPr>
  </w:style>
  <w:style w:type="character" w:styleId="847" w:customStyle="1">
    <w:name w:val="Heading 1 Char"/>
    <w:basedOn w:val="832"/>
    <w:uiPriority w:val="9"/>
    <w:rPr>
      <w:rFonts w:ascii="Arial" w:hAnsi="Arial" w:eastAsia="Arial" w:cs="Arial"/>
      <w:sz w:val="40"/>
      <w:szCs w:val="40"/>
    </w:rPr>
  </w:style>
  <w:style w:type="character" w:styleId="848" w:customStyle="1">
    <w:name w:val="Heading 2 Char"/>
    <w:basedOn w:val="832"/>
    <w:uiPriority w:val="9"/>
    <w:rPr>
      <w:rFonts w:ascii="Arial" w:hAnsi="Arial" w:eastAsia="Arial" w:cs="Arial"/>
      <w:sz w:val="34"/>
    </w:rPr>
  </w:style>
  <w:style w:type="character" w:styleId="849" w:customStyle="1">
    <w:name w:val="Заголовок 3 Знак"/>
    <w:basedOn w:val="832"/>
    <w:link w:val="825"/>
    <w:uiPriority w:val="9"/>
    <w:rPr>
      <w:rFonts w:ascii="Arial" w:hAnsi="Arial" w:eastAsia="Arial" w:cs="Arial"/>
      <w:sz w:val="30"/>
      <w:szCs w:val="30"/>
    </w:rPr>
  </w:style>
  <w:style w:type="character" w:styleId="850" w:customStyle="1">
    <w:name w:val="Заголовок 4 Знак"/>
    <w:basedOn w:val="832"/>
    <w:link w:val="826"/>
    <w:uiPriority w:val="9"/>
    <w:rPr>
      <w:rFonts w:ascii="Arial" w:hAnsi="Arial" w:eastAsia="Arial" w:cs="Arial"/>
      <w:b/>
      <w:bCs/>
      <w:sz w:val="26"/>
      <w:szCs w:val="26"/>
    </w:rPr>
  </w:style>
  <w:style w:type="character" w:styleId="851" w:customStyle="1">
    <w:name w:val="Заголовок 5 Знак"/>
    <w:basedOn w:val="832"/>
    <w:link w:val="827"/>
    <w:uiPriority w:val="9"/>
    <w:rPr>
      <w:rFonts w:ascii="Arial" w:hAnsi="Arial" w:eastAsia="Arial" w:cs="Arial"/>
      <w:b/>
      <w:bCs/>
      <w:sz w:val="24"/>
      <w:szCs w:val="24"/>
    </w:rPr>
  </w:style>
  <w:style w:type="character" w:styleId="852" w:customStyle="1">
    <w:name w:val="Заголовок 6 Знак"/>
    <w:basedOn w:val="832"/>
    <w:link w:val="828"/>
    <w:uiPriority w:val="9"/>
    <w:rPr>
      <w:rFonts w:ascii="Arial" w:hAnsi="Arial" w:eastAsia="Arial" w:cs="Arial"/>
      <w:b/>
      <w:bCs/>
      <w:sz w:val="22"/>
      <w:szCs w:val="22"/>
    </w:rPr>
  </w:style>
  <w:style w:type="character" w:styleId="853" w:customStyle="1">
    <w:name w:val="Заголовок 7 Знак"/>
    <w:basedOn w:val="832"/>
    <w:link w:val="8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54" w:customStyle="1">
    <w:name w:val="Заголовок 8 Знак"/>
    <w:basedOn w:val="832"/>
    <w:link w:val="830"/>
    <w:uiPriority w:val="9"/>
    <w:rPr>
      <w:rFonts w:ascii="Arial" w:hAnsi="Arial" w:eastAsia="Arial" w:cs="Arial"/>
      <w:i/>
      <w:iCs/>
      <w:sz w:val="22"/>
      <w:szCs w:val="22"/>
    </w:rPr>
  </w:style>
  <w:style w:type="character" w:styleId="855" w:customStyle="1">
    <w:name w:val="Заголовок 9 Знак"/>
    <w:basedOn w:val="832"/>
    <w:link w:val="831"/>
    <w:uiPriority w:val="9"/>
    <w:rPr>
      <w:rFonts w:ascii="Arial" w:hAnsi="Arial" w:eastAsia="Arial" w:cs="Arial"/>
      <w:i/>
      <w:iCs/>
      <w:sz w:val="21"/>
      <w:szCs w:val="21"/>
    </w:rPr>
  </w:style>
  <w:style w:type="paragraph" w:styleId="856">
    <w:name w:val="No Spacing"/>
    <w:uiPriority w:val="1"/>
    <w:qFormat/>
    <w:pPr>
      <w:spacing w:after="0" w:line="240" w:lineRule="auto"/>
    </w:pPr>
  </w:style>
  <w:style w:type="paragraph" w:styleId="857">
    <w:name w:val="Title"/>
    <w:basedOn w:val="822"/>
    <w:next w:val="822"/>
    <w:link w:val="858"/>
    <w:uiPriority w:val="10"/>
    <w:qFormat/>
    <w:pPr>
      <w:contextualSpacing/>
      <w:spacing w:before="300"/>
    </w:pPr>
    <w:rPr>
      <w:sz w:val="48"/>
      <w:szCs w:val="48"/>
    </w:rPr>
  </w:style>
  <w:style w:type="character" w:styleId="858" w:customStyle="1">
    <w:name w:val="Заголовок Знак"/>
    <w:basedOn w:val="832"/>
    <w:link w:val="857"/>
    <w:uiPriority w:val="10"/>
    <w:rPr>
      <w:sz w:val="48"/>
      <w:szCs w:val="48"/>
    </w:rPr>
  </w:style>
  <w:style w:type="paragraph" w:styleId="859">
    <w:name w:val="Subtitle"/>
    <w:basedOn w:val="822"/>
    <w:next w:val="822"/>
    <w:link w:val="860"/>
    <w:uiPriority w:val="11"/>
    <w:qFormat/>
    <w:pPr>
      <w:spacing w:before="200"/>
    </w:pPr>
    <w:rPr>
      <w:sz w:val="24"/>
      <w:szCs w:val="24"/>
    </w:rPr>
  </w:style>
  <w:style w:type="character" w:styleId="860" w:customStyle="1">
    <w:name w:val="Подзаголовок Знак"/>
    <w:basedOn w:val="832"/>
    <w:link w:val="859"/>
    <w:uiPriority w:val="11"/>
    <w:rPr>
      <w:sz w:val="24"/>
      <w:szCs w:val="24"/>
    </w:rPr>
  </w:style>
  <w:style w:type="paragraph" w:styleId="861">
    <w:name w:val="Quote"/>
    <w:basedOn w:val="822"/>
    <w:next w:val="822"/>
    <w:link w:val="862"/>
    <w:uiPriority w:val="29"/>
    <w:qFormat/>
    <w:pPr>
      <w:ind w:left="720" w:right="720"/>
    </w:pPr>
    <w:rPr>
      <w:i/>
    </w:rPr>
  </w:style>
  <w:style w:type="character" w:styleId="862" w:customStyle="1">
    <w:name w:val="Цитата 2 Знак"/>
    <w:link w:val="861"/>
    <w:uiPriority w:val="29"/>
    <w:rPr>
      <w:i/>
    </w:rPr>
  </w:style>
  <w:style w:type="paragraph" w:styleId="863">
    <w:name w:val="Intense Quote"/>
    <w:basedOn w:val="822"/>
    <w:next w:val="822"/>
    <w:link w:val="8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4" w:customStyle="1">
    <w:name w:val="Выделенная цитата Знак"/>
    <w:link w:val="863"/>
    <w:uiPriority w:val="30"/>
    <w:rPr>
      <w:i/>
    </w:rPr>
  </w:style>
  <w:style w:type="character" w:styleId="865" w:customStyle="1">
    <w:name w:val="Header Char"/>
    <w:basedOn w:val="832"/>
    <w:uiPriority w:val="99"/>
  </w:style>
  <w:style w:type="character" w:styleId="866" w:customStyle="1">
    <w:name w:val="Footer Char"/>
    <w:basedOn w:val="832"/>
    <w:uiPriority w:val="99"/>
  </w:style>
  <w:style w:type="paragraph" w:styleId="867">
    <w:name w:val="Caption"/>
    <w:basedOn w:val="822"/>
    <w:next w:val="82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68" w:customStyle="1">
    <w:name w:val="Caption Char"/>
    <w:uiPriority w:val="99"/>
  </w:style>
  <w:style w:type="table" w:styleId="869" w:customStyle="1">
    <w:name w:val="Table Grid Light"/>
    <w:basedOn w:val="83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70" w:customStyle="1">
    <w:name w:val="Таблица простая 11"/>
    <w:basedOn w:val="83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1" w:customStyle="1">
    <w:name w:val="Таблица простая 21"/>
    <w:basedOn w:val="83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2" w:customStyle="1">
    <w:name w:val="Таблица простая 31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3" w:customStyle="1">
    <w:name w:val="Таблица простая 41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Таблица простая 51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5" w:customStyle="1">
    <w:name w:val="Таблица-сетка 1 светлая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Таблица-сетка 2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Таблица-сетка 3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Таблица-сетка 41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7" w:customStyle="1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98" w:customStyle="1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99" w:customStyle="1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00" w:customStyle="1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01" w:customStyle="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02" w:customStyle="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03" w:customStyle="1">
    <w:name w:val="Таблица-сетка 5 темная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04" w:customStyle="1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05" w:customStyle="1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06" w:customStyle="1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07" w:customStyle="1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08" w:customStyle="1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09" w:customStyle="1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10" w:customStyle="1">
    <w:name w:val="Таблица-сетка 6 цветная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11" w:customStyle="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12" w:customStyle="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13" w:customStyle="1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14" w:customStyle="1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15" w:customStyle="1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6" w:customStyle="1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7" w:customStyle="1">
    <w:name w:val="Таблица-сетка 7 цветная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Список-таблица 1 светлая1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Список-таблица 2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32" w:customStyle="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33" w:customStyle="1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34" w:customStyle="1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35" w:customStyle="1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36" w:customStyle="1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37" w:customStyle="1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38" w:customStyle="1">
    <w:name w:val="Список-таблица 3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Список-таблица 4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Список-таблица 5 темная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3" w:customStyle="1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4" w:customStyle="1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5" w:customStyle="1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6" w:customStyle="1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7" w:customStyle="1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8" w:customStyle="1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9" w:customStyle="1">
    <w:name w:val="Список-таблица 6 цветная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60" w:customStyle="1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61" w:customStyle="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62" w:customStyle="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63" w:customStyle="1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64" w:customStyle="1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65" w:customStyle="1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66" w:customStyle="1">
    <w:name w:val="Список-таблица 7 цветная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 w:customStyle="1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Lined - Accent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4" w:customStyle="1">
    <w:name w:val="Lined - Accent 1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5" w:customStyle="1">
    <w:name w:val="Lined - Accent 2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6" w:customStyle="1">
    <w:name w:val="Lined - Accent 3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7" w:customStyle="1">
    <w:name w:val="Lined - Accent 4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8" w:customStyle="1">
    <w:name w:val="Lined - Accent 5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9" w:customStyle="1">
    <w:name w:val="Lined - Accent 6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0" w:customStyle="1">
    <w:name w:val="Bordered &amp; Lined - Accent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1" w:customStyle="1">
    <w:name w:val="Bordered &amp; Lined - Accent 1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2" w:customStyle="1">
    <w:name w:val="Bordered &amp; Lined - Accent 2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3" w:customStyle="1">
    <w:name w:val="Bordered &amp; Lined - Accent 3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4" w:customStyle="1">
    <w:name w:val="Bordered &amp; Lined - Accent 4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5" w:customStyle="1">
    <w:name w:val="Bordered &amp; Lined - Accent 5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6" w:customStyle="1">
    <w:name w:val="Bordered &amp; Lined - Accent 6"/>
    <w:basedOn w:val="83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7" w:customStyle="1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88" w:customStyle="1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89" w:customStyle="1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90" w:customStyle="1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91" w:customStyle="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92" w:customStyle="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93" w:customStyle="1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94" w:customStyle="1">
    <w:name w:val="Footnote Text Char"/>
    <w:uiPriority w:val="99"/>
    <w:rPr>
      <w:sz w:val="18"/>
    </w:rPr>
  </w:style>
  <w:style w:type="paragraph" w:styleId="995">
    <w:name w:val="endnote text"/>
    <w:basedOn w:val="822"/>
    <w:link w:val="996"/>
    <w:uiPriority w:val="99"/>
    <w:semiHidden/>
    <w:unhideWhenUsed/>
    <w:pPr>
      <w:spacing w:after="0" w:line="240" w:lineRule="auto"/>
    </w:pPr>
    <w:rPr>
      <w:sz w:val="20"/>
    </w:rPr>
  </w:style>
  <w:style w:type="character" w:styleId="996" w:customStyle="1">
    <w:name w:val="Текст концевой сноски Знак"/>
    <w:link w:val="995"/>
    <w:uiPriority w:val="99"/>
    <w:rPr>
      <w:sz w:val="20"/>
    </w:rPr>
  </w:style>
  <w:style w:type="character" w:styleId="997">
    <w:name w:val="endnote reference"/>
    <w:basedOn w:val="832"/>
    <w:uiPriority w:val="99"/>
    <w:semiHidden/>
    <w:unhideWhenUsed/>
    <w:rPr>
      <w:vertAlign w:val="superscript"/>
    </w:rPr>
  </w:style>
  <w:style w:type="paragraph" w:styleId="998">
    <w:name w:val="toc 1"/>
    <w:basedOn w:val="822"/>
    <w:next w:val="822"/>
    <w:uiPriority w:val="39"/>
    <w:unhideWhenUsed/>
    <w:pPr>
      <w:spacing w:after="57"/>
    </w:pPr>
  </w:style>
  <w:style w:type="paragraph" w:styleId="999">
    <w:name w:val="toc 2"/>
    <w:basedOn w:val="822"/>
    <w:next w:val="822"/>
    <w:uiPriority w:val="39"/>
    <w:unhideWhenUsed/>
    <w:pPr>
      <w:ind w:left="283"/>
      <w:spacing w:after="57"/>
    </w:pPr>
  </w:style>
  <w:style w:type="paragraph" w:styleId="1000">
    <w:name w:val="toc 3"/>
    <w:basedOn w:val="822"/>
    <w:next w:val="822"/>
    <w:uiPriority w:val="39"/>
    <w:unhideWhenUsed/>
    <w:pPr>
      <w:ind w:left="567"/>
      <w:spacing w:after="57"/>
    </w:pPr>
  </w:style>
  <w:style w:type="paragraph" w:styleId="1001">
    <w:name w:val="toc 4"/>
    <w:basedOn w:val="822"/>
    <w:next w:val="822"/>
    <w:uiPriority w:val="39"/>
    <w:unhideWhenUsed/>
    <w:pPr>
      <w:ind w:left="850"/>
      <w:spacing w:after="57"/>
    </w:pPr>
  </w:style>
  <w:style w:type="paragraph" w:styleId="1002">
    <w:name w:val="toc 5"/>
    <w:basedOn w:val="822"/>
    <w:next w:val="822"/>
    <w:uiPriority w:val="39"/>
    <w:unhideWhenUsed/>
    <w:pPr>
      <w:ind w:left="1134"/>
      <w:spacing w:after="57"/>
    </w:pPr>
  </w:style>
  <w:style w:type="paragraph" w:styleId="1003">
    <w:name w:val="toc 6"/>
    <w:basedOn w:val="822"/>
    <w:next w:val="822"/>
    <w:uiPriority w:val="39"/>
    <w:unhideWhenUsed/>
    <w:pPr>
      <w:ind w:left="1417"/>
      <w:spacing w:after="57"/>
    </w:pPr>
  </w:style>
  <w:style w:type="paragraph" w:styleId="1004">
    <w:name w:val="toc 7"/>
    <w:basedOn w:val="822"/>
    <w:next w:val="822"/>
    <w:uiPriority w:val="39"/>
    <w:unhideWhenUsed/>
    <w:pPr>
      <w:ind w:left="1701"/>
      <w:spacing w:after="57"/>
    </w:pPr>
  </w:style>
  <w:style w:type="paragraph" w:styleId="1005">
    <w:name w:val="toc 8"/>
    <w:basedOn w:val="822"/>
    <w:next w:val="822"/>
    <w:uiPriority w:val="39"/>
    <w:unhideWhenUsed/>
    <w:pPr>
      <w:ind w:left="1984"/>
      <w:spacing w:after="57"/>
    </w:pPr>
  </w:style>
  <w:style w:type="paragraph" w:styleId="1006">
    <w:name w:val="toc 9"/>
    <w:basedOn w:val="822"/>
    <w:next w:val="822"/>
    <w:uiPriority w:val="39"/>
    <w:unhideWhenUsed/>
    <w:pPr>
      <w:ind w:left="2268"/>
      <w:spacing w:after="57"/>
    </w:pPr>
  </w:style>
  <w:style w:type="paragraph" w:styleId="1007">
    <w:name w:val="TOC Heading"/>
    <w:uiPriority w:val="39"/>
    <w:unhideWhenUsed/>
  </w:style>
  <w:style w:type="paragraph" w:styleId="1008">
    <w:name w:val="table of figures"/>
    <w:basedOn w:val="822"/>
    <w:next w:val="822"/>
    <w:uiPriority w:val="99"/>
    <w:unhideWhenUsed/>
    <w:pPr>
      <w:spacing w:after="0"/>
    </w:pPr>
  </w:style>
  <w:style w:type="character" w:styleId="1009" w:customStyle="1">
    <w:name w:val="Заголовок 1 Знак"/>
    <w:basedOn w:val="832"/>
    <w:link w:val="823"/>
    <w:rPr>
      <w:rFonts w:ascii="Times New Roman" w:hAnsi="Times New Roman" w:eastAsia="Calibri" w:cs="Times New Roman"/>
      <w:b/>
      <w:bCs/>
      <w:color w:val="000000"/>
      <w:spacing w:val="-3"/>
      <w:sz w:val="32"/>
      <w:szCs w:val="32"/>
      <w:shd w:val="clear" w:color="auto" w:fill="ffffff"/>
      <w:lang w:eastAsia="ru-RU"/>
    </w:rPr>
  </w:style>
  <w:style w:type="character" w:styleId="1010" w:customStyle="1">
    <w:name w:val="Заголовок 2 Знак"/>
    <w:basedOn w:val="832"/>
    <w:link w:val="824"/>
    <w:rPr>
      <w:rFonts w:ascii="Times New Roman" w:hAnsi="Times New Roman" w:eastAsia="Calibri" w:cs="Times New Roman"/>
      <w:sz w:val="28"/>
      <w:szCs w:val="28"/>
      <w:lang w:eastAsia="ru-RU"/>
    </w:rPr>
  </w:style>
  <w:style w:type="paragraph" w:styleId="1011">
    <w:name w:val="List Continue 2"/>
    <w:basedOn w:val="822"/>
    <w:pPr>
      <w:numPr>
        <w:ilvl w:val="2"/>
        <w:numId w:val="1"/>
      </w:numPr>
      <w:spacing w:after="120" w:line="240" w:lineRule="auto"/>
    </w:pPr>
    <w:rPr>
      <w:rFonts w:ascii="Times New Roman" w:hAnsi="Times New Roman" w:eastAsia="Calibri"/>
      <w:sz w:val="24"/>
      <w:szCs w:val="24"/>
      <w:lang w:eastAsia="ru-RU"/>
    </w:rPr>
  </w:style>
  <w:style w:type="paragraph" w:styleId="1012">
    <w:name w:val="List Continue 3"/>
    <w:basedOn w:val="822"/>
    <w:pPr>
      <w:numPr>
        <w:ilvl w:val="3"/>
        <w:numId w:val="1"/>
      </w:numPr>
      <w:spacing w:after="120" w:line="240" w:lineRule="auto"/>
    </w:pPr>
    <w:rPr>
      <w:rFonts w:ascii="Times New Roman" w:hAnsi="Times New Roman" w:eastAsia="Calibri"/>
      <w:sz w:val="24"/>
      <w:szCs w:val="24"/>
      <w:lang w:eastAsia="ru-RU"/>
    </w:rPr>
  </w:style>
  <w:style w:type="paragraph" w:styleId="1013">
    <w:name w:val="footnote text"/>
    <w:basedOn w:val="822"/>
    <w:link w:val="101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014" w:customStyle="1">
    <w:name w:val="Текст сноски Знак"/>
    <w:basedOn w:val="832"/>
    <w:link w:val="1013"/>
    <w:uiPriority w:val="99"/>
    <w:semiHidden/>
    <w:rPr>
      <w:rFonts w:ascii="Calibri" w:hAnsi="Calibri" w:eastAsia="Times New Roman" w:cs="Times New Roman"/>
      <w:sz w:val="20"/>
      <w:szCs w:val="20"/>
    </w:rPr>
  </w:style>
  <w:style w:type="character" w:styleId="1015">
    <w:name w:val="footnote reference"/>
    <w:basedOn w:val="832"/>
    <w:uiPriority w:val="99"/>
    <w:semiHidden/>
    <w:unhideWhenUsed/>
    <w:rPr>
      <w:vertAlign w:val="superscript"/>
    </w:rPr>
  </w:style>
  <w:style w:type="table" w:styleId="1016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17" w:customStyle="1">
    <w:name w:val="Table Normal9"/>
    <w:uiPriority w:val="2"/>
    <w:semiHidden/>
    <w:qFormat/>
    <w:pPr>
      <w:spacing w:after="0" w:line="240" w:lineRule="auto"/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1018">
    <w:name w:val="Header"/>
    <w:basedOn w:val="822"/>
    <w:link w:val="101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19" w:customStyle="1">
    <w:name w:val="Верхний колонтитул Знак"/>
    <w:basedOn w:val="832"/>
    <w:link w:val="1018"/>
    <w:uiPriority w:val="99"/>
    <w:rPr>
      <w:rFonts w:ascii="Calibri" w:hAnsi="Calibri" w:eastAsia="Times New Roman" w:cs="Times New Roman"/>
    </w:rPr>
  </w:style>
  <w:style w:type="paragraph" w:styleId="1020">
    <w:name w:val="Footer"/>
    <w:basedOn w:val="822"/>
    <w:link w:val="10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21" w:customStyle="1">
    <w:name w:val="Нижний колонтитул Знак"/>
    <w:basedOn w:val="832"/>
    <w:link w:val="1020"/>
    <w:uiPriority w:val="99"/>
    <w:rPr>
      <w:rFonts w:ascii="Calibri" w:hAnsi="Calibri" w:eastAsia="Times New Roman" w:cs="Times New Roman"/>
    </w:rPr>
  </w:style>
  <w:style w:type="paragraph" w:styleId="1022">
    <w:name w:val="List Paragraph"/>
    <w:basedOn w:val="822"/>
    <w:uiPriority w:val="34"/>
    <w:qFormat/>
    <w:pPr>
      <w:contextualSpacing/>
      <w:ind w:left="720"/>
    </w:pPr>
    <w:rPr>
      <w:rFonts w:asciiTheme="minorHAnsi" w:hAnsiTheme="minorHAnsi" w:eastAsiaTheme="minorHAnsi" w:cstheme="minorBidi"/>
    </w:rPr>
  </w:style>
  <w:style w:type="character" w:styleId="1023">
    <w:name w:val="Hyperlink"/>
    <w:basedOn w:val="832"/>
    <w:uiPriority w:val="99"/>
    <w:unhideWhenUsed/>
    <w:rPr>
      <w:color w:val="0000ff" w:themeColor="hyperlink"/>
      <w:u w:val="single"/>
    </w:rPr>
  </w:style>
  <w:style w:type="table" w:styleId="1024" w:customStyle="1">
    <w:name w:val="Table Normal91"/>
    <w:uiPriority w:val="2"/>
    <w:semiHidden/>
    <w:qFormat/>
    <w:pPr>
      <w:spacing w:after="0" w:line="240" w:lineRule="auto"/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5" w:customStyle="1">
    <w:name w:val="Table Normal1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  <w:color w:val="000000"/>
      <w:szCs w:val="20"/>
      <w:lang w:eastAsia="zh-CN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character" w:styleId="1026" w:customStyle="1">
    <w:name w:val="Гиперссылка1"/>
    <w:rPr>
      <w:color w:val="0000ff"/>
      <w:u w:val="single"/>
    </w:rPr>
  </w:style>
  <w:style w:type="character" w:styleId="1027">
    <w:name w:val="Unresolved Mention"/>
    <w:basedOn w:val="83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mlcjournal.ru/s231243500032451-4-1/" TargetMode="External"/><Relationship Id="rId12" Type="http://schemas.openxmlformats.org/officeDocument/2006/relationships/hyperlink" Target="https://www.elibrary.ru/item.asp?id=39250401" TargetMode="External"/><Relationship Id="rId13" Type="http://schemas.openxmlformats.org/officeDocument/2006/relationships/hyperlink" Target="https://www.scopus.com/" TargetMode="External"/><Relationship Id="rId14" Type="http://schemas.openxmlformats.org/officeDocument/2006/relationships/hyperlink" Target="http://www.elibrary.ru/" TargetMode="External"/><Relationship Id="rId15" Type="http://schemas.openxmlformats.org/officeDocument/2006/relationships/hyperlink" Target="https://cyberleninka.ru" TargetMode="External"/><Relationship Id="rId16" Type="http://schemas.openxmlformats.org/officeDocument/2006/relationships/hyperlink" Target="http://webofscience.com/" TargetMode="External"/><Relationship Id="rId17" Type="http://schemas.openxmlformats.org/officeDocument/2006/relationships/hyperlink" Target="https://biblioclub.ru/index.php?page=izd_n" TargetMode="External"/><Relationship Id="rId18" Type="http://schemas.openxmlformats.org/officeDocument/2006/relationships/hyperlink" Target="http://elib.gubkin.ru/" TargetMode="External"/><Relationship Id="rId19" Type="http://schemas.openxmlformats.org/officeDocument/2006/relationships/hyperlink" Target="https://www.prlib.ru/" TargetMode="External"/><Relationship Id="rId20" Type="http://schemas.openxmlformats.org/officeDocument/2006/relationships/hyperlink" Target="http://nlr.ru/" TargetMode="External"/><Relationship Id="rId21" Type="http://schemas.openxmlformats.org/officeDocument/2006/relationships/hyperlink" Target="https://www.rsl.ru/" TargetMode="External"/><Relationship Id="rId22" Type="http://schemas.openxmlformats.org/officeDocument/2006/relationships/hyperlink" Target="http://www.inion.ru/" TargetMode="External"/><Relationship Id="rId23" Type="http://schemas.openxmlformats.org/officeDocument/2006/relationships/hyperlink" Target="http://inion.ru/" TargetMode="External"/><Relationship Id="rId24" Type="http://schemas.openxmlformats.org/officeDocument/2006/relationships/hyperlink" Target="http://www.pl.spb.ru/" TargetMode="External"/><Relationship Id="rId25" Type="http://schemas.openxmlformats.org/officeDocument/2006/relationships/hyperlink" Target="https://pl.spb.ru/" TargetMode="External"/><Relationship Id="rId26" Type="http://schemas.openxmlformats.org/officeDocument/2006/relationships/hyperlink" Target="file:///C:/&#1062;&#1077;&#1085;&#1090;&#1088;&#1069;&#1085;&#1077;&#1088;&#1075;&#1055;&#1088;&#1072;&#1074;&#1072;/&#1054;&#1055;&#1054;&#1055;_&#1050;&#1086;&#1088;&#1087;_&#1082;&#1086;&#1085;&#1082;&#1091;&#1088;%20&#1080;%20&#1101;&#1085;&#1077;&#1088;&#1075;%20&#1087;&#1088;&#1072;&#1074;&#1086;_2019/&#1056;&#1055;&#1044;_2019/WorldCat" TargetMode="External"/><Relationship Id="rId27" Type="http://schemas.openxmlformats.org/officeDocument/2006/relationships/hyperlink" Target="https://www.worldcat.org/" TargetMode="External"/><Relationship Id="rId28" Type="http://schemas.openxmlformats.org/officeDocument/2006/relationships/hyperlink" Target="http://www.consultant.ru" TargetMode="External"/><Relationship Id="rId29" Type="http://schemas.openxmlformats.org/officeDocument/2006/relationships/hyperlink" Target="http://www.garant.ru" TargetMode="External"/><Relationship Id="rId30" Type="http://schemas.openxmlformats.org/officeDocument/2006/relationships/hyperlink" Target="http://www.kodeks.ru" TargetMode="External"/><Relationship Id="rId31" Type="http://schemas.openxmlformats.org/officeDocument/2006/relationships/hyperlink" Target="http://www.iprbookshop.ru/" TargetMode="External"/><Relationship Id="rId32" Type="http://schemas.openxmlformats.org/officeDocument/2006/relationships/hyperlink" Target="http://ebs.prospekt.org/books" TargetMode="External"/><Relationship Id="rId33" Type="http://schemas.openxmlformats.org/officeDocument/2006/relationships/hyperlink" Target="https://elknigi.ru/" TargetMode="External"/><Relationship Id="rId34" Type="http://schemas.openxmlformats.org/officeDocument/2006/relationships/hyperlink" Target="http://www.book.ru" TargetMode="External"/><Relationship Id="rId35" Type="http://schemas.openxmlformats.org/officeDocument/2006/relationships/hyperlink" Target="http://www.urait.ru" TargetMode="External"/><Relationship Id="rId36" Type="http://schemas.openxmlformats.org/officeDocument/2006/relationships/hyperlink" Target="http://www.znanium.com" TargetMode="External"/><Relationship Id="rId37" Type="http://schemas.openxmlformats.org/officeDocument/2006/relationships/hyperlink" Target="https://webina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17266-7A3B-4E69-9484-4BAF4517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Gazprom JSC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Варвара Владимировна</dc:creator>
  <cp:revision>36</cp:revision>
  <dcterms:created xsi:type="dcterms:W3CDTF">2022-02-02T17:24:00Z</dcterms:created>
  <dcterms:modified xsi:type="dcterms:W3CDTF">2025-03-13T08:05:32Z</dcterms:modified>
</cp:coreProperties>
</file>