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108"/>
        <w:tblLayout w:type="fixed"/>
      </w:tblPr>
      <w:tblGrid>
        <w:gridCol w:w="632"/>
        <w:gridCol w:w="9291"/>
      </w:tblGrid>
      <w:tr>
        <w:trPr>
          <w:trHeight w:hRule="atLeast" w:val="660"/>
        </w:trPr>
        <w:tc>
          <w:tcPr>
            <w:tcW w:type="dxa" w:w="9923"/>
            <w:gridSpan w:val="2"/>
          </w:tcPr>
          <w:p w14:paraId="05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Автономная некоммерческая организация </w:t>
            </w:r>
          </w:p>
          <w:p w14:paraId="06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</w:tr>
    </w:tbl>
    <w:p w14:paraId="07000000">
      <w:pPr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8000000">
      <w:pPr>
        <w:ind/>
        <w:jc w:val="center"/>
        <w:rPr>
          <w:sz w:val="28"/>
        </w:rPr>
      </w:pPr>
    </w:p>
    <w:p w14:paraId="09000000">
      <w:pPr>
        <w:pStyle w:val="Style_2"/>
        <w:rPr>
          <w:b w:val="1"/>
          <w:sz w:val="28"/>
        </w:rPr>
      </w:pPr>
    </w:p>
    <w:p w14:paraId="0A000000">
      <w:pPr>
        <w:pStyle w:val="Style_2"/>
        <w:rPr>
          <w:b w:val="1"/>
          <w:sz w:val="28"/>
        </w:rPr>
      </w:pPr>
    </w:p>
    <w:p w14:paraId="0B000000">
      <w:pPr>
        <w:pStyle w:val="Style_2"/>
        <w:rPr>
          <w:b w:val="1"/>
          <w:sz w:val="28"/>
        </w:rPr>
      </w:pPr>
    </w:p>
    <w:p w14:paraId="0C000000">
      <w:pPr>
        <w:spacing w:before="236" w:line="322" w:lineRule="exact"/>
        <w:ind w:firstLine="0" w:left="758" w:right="1609"/>
        <w:jc w:val="center"/>
        <w:rPr>
          <w:b w:val="1"/>
          <w:sz w:val="28"/>
        </w:rPr>
      </w:pPr>
    </w:p>
    <w:p w14:paraId="0D000000">
      <w:pPr>
        <w:pStyle w:val="Style_2"/>
        <w:ind w:firstLine="0" w:left="0"/>
        <w:rPr>
          <w:sz w:val="28"/>
        </w:rPr>
      </w:pPr>
    </w:p>
    <w:p w14:paraId="0E000000">
      <w:pPr>
        <w:spacing w:before="236" w:line="322" w:lineRule="exact"/>
        <w:ind w:firstLine="0" w:left="1467" w:right="1609"/>
        <w:jc w:val="center"/>
        <w:rPr>
          <w:b w:val="1"/>
          <w:sz w:val="28"/>
        </w:rPr>
      </w:pPr>
      <w:r>
        <w:rPr>
          <w:b w:val="1"/>
          <w:sz w:val="28"/>
        </w:rPr>
        <w:t>ПРОГРАММА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ИТОГОВОЙ АТТЕСТАЦИИ</w:t>
      </w:r>
    </w:p>
    <w:p w14:paraId="0F000000">
      <w:pPr>
        <w:spacing w:before="236" w:line="322" w:lineRule="exact"/>
        <w:ind w:firstLine="0" w:left="1467" w:right="1609"/>
        <w:jc w:val="center"/>
        <w:rPr>
          <w:b w:val="1"/>
          <w:sz w:val="28"/>
        </w:rPr>
      </w:pPr>
    </w:p>
    <w:p w14:paraId="10000000">
      <w:pPr>
        <w:ind w:right="495"/>
        <w:jc w:val="center"/>
        <w:rPr>
          <w:b w:val="1"/>
          <w:sz w:val="28"/>
        </w:rPr>
      </w:pPr>
      <w:r>
        <w:rPr>
          <w:b w:val="1"/>
          <w:sz w:val="28"/>
        </w:rPr>
        <w:t xml:space="preserve">по программе </w:t>
      </w:r>
      <w:r>
        <w:rPr>
          <w:b w:val="1"/>
          <w:sz w:val="28"/>
        </w:rPr>
        <w:t>подготовки</w:t>
      </w:r>
      <w:r>
        <w:rPr>
          <w:b w:val="1"/>
          <w:sz w:val="28"/>
        </w:rPr>
        <w:t xml:space="preserve"> научных и</w:t>
      </w:r>
      <w:r>
        <w:rPr>
          <w:b w:val="1"/>
          <w:sz w:val="28"/>
        </w:rPr>
        <w:t xml:space="preserve"> научно</w:t>
      </w:r>
      <w:r>
        <w:rPr>
          <w:b w:val="1"/>
          <w:sz w:val="28"/>
        </w:rPr>
        <w:t>-педагогических кадров в аспирантуре</w:t>
      </w:r>
    </w:p>
    <w:p w14:paraId="11000000">
      <w:pPr>
        <w:ind w:firstLine="1144" w:left="362" w:right="495"/>
        <w:rPr>
          <w:b w:val="1"/>
          <w:sz w:val="28"/>
        </w:rPr>
      </w:pPr>
    </w:p>
    <w:p w14:paraId="12000000">
      <w:pPr>
        <w:ind w:firstLine="1144" w:left="362" w:right="495"/>
        <w:rPr>
          <w:b w:val="1"/>
          <w:sz w:val="28"/>
        </w:rPr>
      </w:pPr>
    </w:p>
    <w:p w14:paraId="13000000">
      <w:pPr>
        <w:ind w:right="495"/>
        <w:rPr>
          <w:b w:val="1"/>
          <w:sz w:val="28"/>
        </w:rPr>
      </w:pPr>
    </w:p>
    <w:tbl>
      <w:tblPr>
        <w:tblStyle w:val="Style_3"/>
        <w:tblLayout w:type="fixed"/>
      </w:tblPr>
      <w:tblGrid>
        <w:gridCol w:w="3384"/>
        <w:gridCol w:w="6266"/>
      </w:tblGrid>
      <w:tr>
        <w:trPr>
          <w:trHeight w:hRule="atLeast" w:val="791"/>
        </w:trPr>
        <w:tc>
          <w:tcPr>
            <w:tcW w:type="dxa" w:w="3384"/>
            <w:vAlign w:val="center"/>
          </w:tcPr>
          <w:p w14:paraId="14000000">
            <w:pPr>
              <w:spacing w:line="276" w:lineRule="auto"/>
              <w:ind/>
              <w:rPr>
                <w:sz w:val="28"/>
              </w:rPr>
            </w:pPr>
          </w:p>
          <w:p w14:paraId="15000000">
            <w:pPr>
              <w:rPr>
                <w:b w:val="1"/>
                <w:sz w:val="28"/>
                <w:highlight w:val="yellow"/>
              </w:rPr>
            </w:pPr>
            <w:r>
              <w:rPr>
                <w:sz w:val="28"/>
              </w:rPr>
              <w:t>Направление подготовки/научная специальность</w:t>
            </w:r>
          </w:p>
        </w:tc>
        <w:tc>
          <w:tcPr>
            <w:tcW w:type="dxa" w:w="6266"/>
            <w:vAlign w:val="center"/>
          </w:tcPr>
          <w:p w14:paraId="16000000">
            <w:pPr>
              <w:rPr>
                <w:sz w:val="28"/>
              </w:rPr>
            </w:pPr>
          </w:p>
          <w:p w14:paraId="17000000">
            <w:pPr>
              <w:rPr>
                <w:i w:val="1"/>
                <w:color w:val="E36C0A"/>
                <w:sz w:val="28"/>
              </w:rPr>
            </w:pPr>
            <w:r>
              <w:rPr>
                <w:sz w:val="28"/>
              </w:rPr>
              <w:t>5.1.3 Частно-</w:t>
            </w:r>
            <w:r>
              <w:rPr>
                <w:sz w:val="28"/>
              </w:rPr>
              <w:t>правовые 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</w:tc>
      </w:tr>
      <w:tr>
        <w:trPr>
          <w:trHeight w:hRule="atLeast" w:val="1169"/>
        </w:trPr>
        <w:tc>
          <w:tcPr>
            <w:tcW w:type="dxa" w:w="3384"/>
          </w:tcPr>
          <w:p w14:paraId="18000000">
            <w:pPr>
              <w:spacing w:line="276" w:lineRule="auto"/>
              <w:ind/>
              <w:rPr>
                <w:sz w:val="28"/>
              </w:rPr>
            </w:pPr>
          </w:p>
          <w:p w14:paraId="19000000">
            <w:pPr>
              <w:rPr>
                <w:sz w:val="28"/>
                <w:highlight w:val="yellow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66"/>
            <w:vAlign w:val="center"/>
          </w:tcPr>
          <w:p w14:paraId="1A000000">
            <w:pPr>
              <w:ind w:firstLine="33" w:left="0"/>
              <w:rPr>
                <w:sz w:val="28"/>
              </w:rPr>
            </w:pPr>
          </w:p>
          <w:p w14:paraId="1B000000">
            <w:pPr>
              <w:ind w:firstLine="33" w:left="0"/>
              <w:rPr>
                <w:i w:val="1"/>
                <w:color w:val="E36C0A"/>
                <w:sz w:val="28"/>
              </w:rPr>
            </w:pPr>
            <w:r>
              <w:rPr>
                <w:sz w:val="28"/>
              </w:rPr>
              <w:t xml:space="preserve">Энергетическое право.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отношения</w:t>
            </w:r>
          </w:p>
        </w:tc>
      </w:tr>
      <w:tr>
        <w:trPr>
          <w:trHeight w:hRule="atLeast" w:val="324"/>
        </w:trPr>
        <w:tc>
          <w:tcPr>
            <w:tcW w:type="dxa" w:w="3384"/>
          </w:tcPr>
          <w:p w14:paraId="1C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1D000000">
            <w:pPr>
              <w:rPr>
                <w:sz w:val="28"/>
              </w:rPr>
            </w:pPr>
            <w:r>
              <w:rPr>
                <w:sz w:val="28"/>
              </w:rPr>
              <w:t xml:space="preserve">Форма обучения                       </w:t>
            </w:r>
          </w:p>
        </w:tc>
        <w:tc>
          <w:tcPr>
            <w:tcW w:type="dxa" w:w="6266"/>
            <w:vAlign w:val="center"/>
          </w:tcPr>
          <w:p w14:paraId="1E000000">
            <w:pPr>
              <w:spacing w:line="276" w:lineRule="auto"/>
              <w:ind/>
              <w:rPr>
                <w:sz w:val="28"/>
              </w:rPr>
            </w:pPr>
          </w:p>
          <w:p w14:paraId="1F000000">
            <w:pPr>
              <w:spacing w:line="276" w:lineRule="auto"/>
              <w:ind/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1000000">
      <w:pPr>
        <w:pStyle w:val="Style_2"/>
        <w:ind w:firstLine="0" w:left="0"/>
        <w:rPr>
          <w:b w:val="1"/>
          <w:sz w:val="28"/>
        </w:rPr>
      </w:pPr>
    </w:p>
    <w:p w14:paraId="22000000">
      <w:pPr>
        <w:pStyle w:val="Style_2"/>
        <w:spacing w:before="1"/>
        <w:ind w:firstLine="0" w:left="0"/>
        <w:rPr>
          <w:b w:val="1"/>
          <w:sz w:val="28"/>
        </w:rPr>
      </w:pPr>
    </w:p>
    <w:p w14:paraId="23000000">
      <w:pPr>
        <w:ind w:firstLine="0" w:left="1467" w:right="1611"/>
        <w:jc w:val="center"/>
        <w:rPr>
          <w:sz w:val="28"/>
        </w:rPr>
      </w:pPr>
    </w:p>
    <w:p w14:paraId="24000000">
      <w:pPr>
        <w:ind w:right="1611"/>
        <w:rPr>
          <w:sz w:val="28"/>
        </w:rPr>
      </w:pPr>
    </w:p>
    <w:p w14:paraId="25000000">
      <w:pPr>
        <w:ind w:firstLine="0" w:left="1467" w:right="1611"/>
        <w:rPr>
          <w:sz w:val="28"/>
        </w:rPr>
      </w:pPr>
    </w:p>
    <w:p w14:paraId="26000000">
      <w:pPr>
        <w:ind w:firstLine="0" w:left="1467" w:right="1611"/>
        <w:jc w:val="center"/>
        <w:rPr>
          <w:sz w:val="28"/>
        </w:rPr>
      </w:pPr>
    </w:p>
    <w:p w14:paraId="27000000">
      <w:pPr>
        <w:ind w:firstLine="0" w:left="1467" w:right="1611"/>
        <w:jc w:val="center"/>
        <w:rPr>
          <w:sz w:val="28"/>
        </w:rPr>
      </w:pPr>
    </w:p>
    <w:p w14:paraId="28000000">
      <w:pPr>
        <w:ind w:firstLine="0" w:left="1467" w:right="1611"/>
        <w:jc w:val="center"/>
        <w:rPr>
          <w:sz w:val="28"/>
        </w:rPr>
      </w:pPr>
    </w:p>
    <w:p w14:paraId="29000000">
      <w:pPr>
        <w:ind w:firstLine="0" w:left="1467" w:right="1611"/>
        <w:jc w:val="center"/>
        <w:rPr>
          <w:sz w:val="28"/>
        </w:rPr>
      </w:pPr>
    </w:p>
    <w:p w14:paraId="2A000000">
      <w:pPr>
        <w:ind w:firstLine="0" w:left="1467" w:right="1611"/>
        <w:jc w:val="center"/>
        <w:rPr>
          <w:sz w:val="28"/>
        </w:rPr>
      </w:pPr>
    </w:p>
    <w:p w14:paraId="2B000000">
      <w:pPr>
        <w:ind w:firstLine="0" w:left="1467" w:right="1611"/>
        <w:jc w:val="center"/>
        <w:rPr>
          <w:sz w:val="28"/>
        </w:rPr>
      </w:pPr>
    </w:p>
    <w:p w14:paraId="2C000000">
      <w:pPr>
        <w:ind w:right="1611"/>
        <w:jc w:val="center"/>
        <w:rPr>
          <w:sz w:val="24"/>
        </w:rPr>
      </w:pPr>
      <w:r>
        <w:rPr>
          <w:sz w:val="24"/>
        </w:rPr>
        <w:t>2022</w:t>
      </w:r>
      <w:r>
        <w:rPr>
          <w:sz w:val="24"/>
        </w:rPr>
        <w:t xml:space="preserve"> г.</w:t>
      </w:r>
    </w:p>
    <w:p w14:paraId="2D000000">
      <w:pPr>
        <w:ind w:right="1611"/>
        <w:jc w:val="both"/>
        <w:rPr>
          <w:sz w:val="24"/>
        </w:rPr>
      </w:pPr>
    </w:p>
    <w:p w14:paraId="2E000000">
      <w:pPr>
        <w:ind w:right="1611"/>
        <w:jc w:val="both"/>
        <w:rPr>
          <w:sz w:val="24"/>
        </w:rPr>
      </w:pPr>
    </w:p>
    <w:p w14:paraId="2F000000">
      <w:pPr>
        <w:ind w:right="1611"/>
        <w:jc w:val="both"/>
        <w:rPr>
          <w:b w:val="1"/>
          <w:sz w:val="24"/>
        </w:rPr>
      </w:pPr>
      <w:r>
        <w:rPr>
          <w:b w:val="1"/>
          <w:sz w:val="24"/>
        </w:rPr>
        <w:t>Автор</w:t>
      </w:r>
      <w:r>
        <w:rPr>
          <w:b w:val="1"/>
          <w:sz w:val="24"/>
        </w:rPr>
        <w:t>ы</w:t>
      </w:r>
      <w:r>
        <w:rPr>
          <w:b w:val="1"/>
          <w:sz w:val="24"/>
        </w:rPr>
        <w:t>:</w:t>
      </w:r>
    </w:p>
    <w:p w14:paraId="30000000">
      <w:pPr>
        <w:ind w:right="1611"/>
        <w:jc w:val="both"/>
        <w:rPr>
          <w:sz w:val="24"/>
        </w:rPr>
      </w:pPr>
      <w:r>
        <w:rPr>
          <w:sz w:val="24"/>
        </w:rPr>
        <w:t>Романова В.В.</w:t>
      </w:r>
      <w:r>
        <w:rPr>
          <w:sz w:val="24"/>
        </w:rPr>
        <w:t>, доктор юридических наук</w:t>
      </w:r>
      <w:r>
        <w:rPr>
          <w:sz w:val="24"/>
        </w:rPr>
        <w:t>, профессор</w:t>
      </w:r>
    </w:p>
    <w:p w14:paraId="31000000">
      <w:pPr>
        <w:ind w:right="1611"/>
        <w:jc w:val="both"/>
        <w:rPr>
          <w:b w:val="1"/>
          <w:sz w:val="24"/>
        </w:rPr>
      </w:pPr>
    </w:p>
    <w:p w14:paraId="32000000">
      <w:pPr>
        <w:ind w:right="1611"/>
        <w:jc w:val="both"/>
        <w:rPr>
          <w:b w:val="1"/>
          <w:sz w:val="24"/>
        </w:rPr>
      </w:pPr>
    </w:p>
    <w:p w14:paraId="33000000">
      <w:pPr>
        <w:ind w:right="1611"/>
        <w:jc w:val="both"/>
        <w:rPr>
          <w:b w:val="1"/>
          <w:sz w:val="24"/>
        </w:rPr>
      </w:pPr>
    </w:p>
    <w:p w14:paraId="34000000">
      <w:pPr>
        <w:ind w:right="1611"/>
        <w:jc w:val="both"/>
        <w:rPr>
          <w:b w:val="1"/>
          <w:sz w:val="24"/>
        </w:rPr>
      </w:pPr>
      <w:r>
        <w:rPr>
          <w:b w:val="1"/>
          <w:sz w:val="24"/>
        </w:rPr>
        <w:t>Рецензент</w:t>
      </w:r>
      <w:r>
        <w:rPr>
          <w:b w:val="1"/>
          <w:sz w:val="24"/>
        </w:rPr>
        <w:t>ы</w:t>
      </w:r>
      <w:r>
        <w:rPr>
          <w:b w:val="1"/>
          <w:sz w:val="24"/>
        </w:rPr>
        <w:t>:</w:t>
      </w:r>
    </w:p>
    <w:p w14:paraId="35000000">
      <w:pPr>
        <w:ind w:right="1611"/>
        <w:jc w:val="both"/>
        <w:rPr>
          <w:sz w:val="24"/>
        </w:rPr>
      </w:pPr>
      <w:r>
        <w:rPr>
          <w:sz w:val="24"/>
        </w:rPr>
        <w:t>Клеандров</w:t>
      </w:r>
      <w:r>
        <w:rPr>
          <w:sz w:val="24"/>
        </w:rPr>
        <w:t xml:space="preserve"> М.И. – доктор юридических наук, профессор, член-корреспондент РАН</w:t>
      </w:r>
    </w:p>
    <w:p w14:paraId="36000000">
      <w:pPr>
        <w:ind w:right="1611"/>
        <w:jc w:val="both"/>
        <w:rPr>
          <w:sz w:val="24"/>
        </w:rPr>
      </w:pPr>
      <w:r>
        <w:rPr>
          <w:sz w:val="24"/>
        </w:rPr>
        <w:t>Лисицын-Светланов А.Г. -</w:t>
      </w:r>
      <w:r>
        <w:rPr>
          <w:sz w:val="24"/>
        </w:rPr>
        <w:t xml:space="preserve"> доктор юридических наук, профессор,</w:t>
      </w:r>
      <w:r>
        <w:rPr>
          <w:sz w:val="24"/>
        </w:rPr>
        <w:t xml:space="preserve"> академик РАН</w:t>
      </w:r>
    </w:p>
    <w:p w14:paraId="37000000">
      <w:pPr>
        <w:ind w:right="1611"/>
        <w:jc w:val="both"/>
        <w:rPr>
          <w:sz w:val="24"/>
        </w:rPr>
      </w:pPr>
    </w:p>
    <w:p w14:paraId="38000000">
      <w:pPr>
        <w:ind w:right="1611"/>
        <w:jc w:val="both"/>
        <w:rPr>
          <w:sz w:val="24"/>
        </w:rPr>
      </w:pPr>
      <w:r>
        <w:rPr>
          <w:sz w:val="24"/>
        </w:rPr>
        <w:t>Методическое оформление: Коленькова М.А.</w:t>
      </w:r>
    </w:p>
    <w:p w14:paraId="39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A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B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C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D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E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3F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0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1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2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3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4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5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6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7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8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9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A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B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C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D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E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4F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0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1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2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3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4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©Романова В.В.</w:t>
      </w:r>
      <w:r>
        <w:rPr>
          <w:sz w:val="24"/>
        </w:rPr>
        <w:t xml:space="preserve"> 2022</w:t>
      </w:r>
    </w:p>
    <w:p w14:paraId="55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56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57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58000000">
      <w:pPr>
        <w:widowControl w:val="1"/>
        <w:ind w:right="11"/>
        <w:jc w:val="right"/>
        <w:rPr>
          <w:sz w:val="24"/>
        </w:rPr>
      </w:pPr>
      <w:r>
        <w:rPr>
          <w:sz w:val="24"/>
        </w:rPr>
        <w:t>имени В.А.</w:t>
      </w:r>
      <w:r>
        <w:rPr>
          <w:sz w:val="24"/>
        </w:rPr>
        <w:t xml:space="preserve"> </w:t>
      </w:r>
      <w:r>
        <w:rPr>
          <w:sz w:val="24"/>
        </w:rPr>
        <w:t>Мусина», оформление, 2022</w:t>
      </w:r>
    </w:p>
    <w:p w14:paraId="59000000">
      <w:pPr>
        <w:widowControl w:val="1"/>
        <w:ind w:right="11"/>
        <w:jc w:val="right"/>
        <w:rPr>
          <w:sz w:val="24"/>
        </w:rPr>
      </w:pPr>
    </w:p>
    <w:p w14:paraId="5A000000">
      <w:pPr>
        <w:widowControl w:val="1"/>
        <w:ind w:right="11"/>
        <w:jc w:val="right"/>
        <w:rPr>
          <w:sz w:val="24"/>
        </w:rPr>
      </w:pPr>
    </w:p>
    <w:p w14:paraId="5B000000">
      <w:pPr>
        <w:widowControl w:val="1"/>
        <w:ind w:right="11"/>
        <w:jc w:val="right"/>
        <w:rPr>
          <w:sz w:val="24"/>
        </w:rPr>
      </w:pPr>
    </w:p>
    <w:p w14:paraId="5C000000">
      <w:pPr>
        <w:spacing w:before="72"/>
        <w:ind w:firstLine="0" w:left="1467" w:right="1611"/>
        <w:jc w:val="center"/>
        <w:rPr>
          <w:b w:val="1"/>
          <w:sz w:val="24"/>
        </w:rPr>
      </w:pPr>
    </w:p>
    <w:p w14:paraId="5D000000">
      <w:pPr>
        <w:pStyle w:val="Style_4"/>
        <w:numPr>
          <w:ilvl w:val="0"/>
          <w:numId w:val="1"/>
        </w:numPr>
        <w:spacing w:before="73" w:line="274" w:lineRule="exact"/>
        <w:ind w:firstLine="0" w:left="0"/>
        <w:jc w:val="center"/>
        <w:rPr>
          <w:sz w:val="24"/>
        </w:rPr>
      </w:pPr>
      <w:r>
        <w:rPr>
          <w:sz w:val="24"/>
        </w:rPr>
        <w:t>ЦЕЛЬ, ЗАДАЧИ, ФОРМЫ ПРОВЕДЕНИЯ ИТОГОВОЙ АТТЕСТАЦИИ</w:t>
      </w:r>
    </w:p>
    <w:p w14:paraId="5E000000">
      <w:pPr>
        <w:pStyle w:val="Style_5"/>
        <w:spacing w:before="72"/>
        <w:ind w:firstLine="709" w:left="142" w:right="1611"/>
        <w:jc w:val="both"/>
        <w:rPr>
          <w:sz w:val="24"/>
        </w:rPr>
      </w:pPr>
    </w:p>
    <w:p w14:paraId="5F000000">
      <w:pPr>
        <w:pStyle w:val="Style_5"/>
        <w:numPr>
          <w:ilvl w:val="1"/>
          <w:numId w:val="1"/>
        </w:numPr>
        <w:tabs>
          <w:tab w:leader="none" w:pos="1418" w:val="left"/>
        </w:tabs>
        <w:ind w:firstLine="709" w:left="142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И</w:t>
      </w:r>
      <w:r>
        <w:rPr>
          <w:b w:val="1"/>
          <w:sz w:val="24"/>
        </w:rPr>
        <w:t>тоговая аттестация</w:t>
      </w:r>
      <w:r>
        <w:rPr>
          <w:sz w:val="24"/>
        </w:rPr>
        <w:t xml:space="preserve"> является третьим компонентом Программы аспирантуры в</w:t>
      </w:r>
      <w:r>
        <w:rPr>
          <w:sz w:val="24"/>
        </w:rPr>
        <w:t xml:space="preserve"> соответствии с требованиями ФГТ</w:t>
      </w:r>
      <w:r>
        <w:rPr>
          <w:sz w:val="24"/>
        </w:rPr>
        <w:t xml:space="preserve"> по</w:t>
      </w:r>
      <w:r>
        <w:rPr>
          <w:sz w:val="24"/>
        </w:rPr>
        <w:t xml:space="preserve"> направлению подготовки </w:t>
      </w:r>
      <w:r>
        <w:rPr>
          <w:sz w:val="24"/>
        </w:rPr>
        <w:t>5.1.3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Частно-</w:t>
      </w:r>
      <w:r>
        <w:rPr>
          <w:sz w:val="24"/>
        </w:rPr>
        <w:t>правовые</w:t>
      </w:r>
      <w:r>
        <w:rPr>
          <w:sz w:val="24"/>
        </w:rPr>
        <w:t xml:space="preserve"> (</w:t>
      </w:r>
      <w:r>
        <w:rPr>
          <w:sz w:val="24"/>
        </w:rPr>
        <w:t>цивилистические</w:t>
      </w:r>
      <w:r>
        <w:rPr>
          <w:sz w:val="24"/>
        </w:rPr>
        <w:t>) науки</w:t>
      </w:r>
      <w:r>
        <w:rPr>
          <w:sz w:val="24"/>
        </w:rPr>
        <w:t>.</w:t>
      </w:r>
    </w:p>
    <w:p w14:paraId="60000000">
      <w:pPr>
        <w:pStyle w:val="Style_5"/>
        <w:numPr>
          <w:ilvl w:val="1"/>
          <w:numId w:val="1"/>
        </w:numPr>
        <w:tabs>
          <w:tab w:leader="none" w:pos="1418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b w:val="1"/>
          <w:sz w:val="24"/>
        </w:rPr>
        <w:t>Целью</w:t>
      </w:r>
      <w:r>
        <w:rPr>
          <w:b w:val="1"/>
          <w:sz w:val="24"/>
        </w:rPr>
        <w:t xml:space="preserve"> итоговой аттестации является </w:t>
      </w:r>
      <w:r>
        <w:rPr>
          <w:sz w:val="24"/>
        </w:rPr>
        <w:t>о</w:t>
      </w:r>
      <w:r>
        <w:rPr>
          <w:sz w:val="24"/>
        </w:rPr>
        <w:t xml:space="preserve">ценка диссертации на предмет соответствия установленным критериям </w:t>
      </w:r>
      <w:r>
        <w:rPr>
          <w:sz w:val="24"/>
        </w:rPr>
        <w:t xml:space="preserve">Программы </w:t>
      </w:r>
      <w:r>
        <w:rPr>
          <w:sz w:val="24"/>
        </w:rPr>
        <w:t xml:space="preserve">аспирантуры по </w:t>
      </w:r>
      <w:r>
        <w:rPr>
          <w:sz w:val="24"/>
        </w:rPr>
        <w:t>научной специальности</w:t>
      </w:r>
      <w:r>
        <w:rPr>
          <w:sz w:val="24"/>
        </w:rPr>
        <w:t xml:space="preserve"> </w:t>
      </w:r>
      <w:r>
        <w:rPr>
          <w:sz w:val="24"/>
        </w:rPr>
        <w:t>5.1.3.</w:t>
      </w:r>
      <w:r>
        <w:rPr>
          <w:sz w:val="24"/>
        </w:rPr>
        <w:t xml:space="preserve"> </w:t>
      </w:r>
      <w:r>
        <w:rPr>
          <w:sz w:val="24"/>
        </w:rPr>
        <w:t>Частно-правовые</w:t>
      </w:r>
      <w:r>
        <w:rPr>
          <w:sz w:val="24"/>
        </w:rPr>
        <w:t xml:space="preserve"> (</w:t>
      </w:r>
      <w:r>
        <w:rPr>
          <w:sz w:val="24"/>
        </w:rPr>
        <w:t>цивилистические</w:t>
      </w:r>
      <w:r>
        <w:rPr>
          <w:sz w:val="24"/>
        </w:rPr>
        <w:t>) науки</w:t>
      </w:r>
      <w:r>
        <w:rPr>
          <w:sz w:val="24"/>
        </w:rPr>
        <w:t xml:space="preserve">, направленность </w:t>
      </w:r>
      <w:r>
        <w:rPr>
          <w:sz w:val="24"/>
        </w:rPr>
        <w:t>программы</w:t>
      </w:r>
      <w:r>
        <w:rPr>
          <w:sz w:val="24"/>
        </w:rPr>
        <w:t xml:space="preserve"> – </w:t>
      </w:r>
      <w:r>
        <w:rPr>
          <w:sz w:val="24"/>
        </w:rPr>
        <w:t xml:space="preserve">Энергетическое право. </w:t>
      </w:r>
      <w:r>
        <w:rPr>
          <w:sz w:val="24"/>
        </w:rPr>
        <w:t>Частно</w:t>
      </w:r>
      <w:r>
        <w:rPr>
          <w:sz w:val="24"/>
        </w:rPr>
        <w:t>-правовые</w:t>
      </w:r>
      <w:r>
        <w:rPr>
          <w:sz w:val="24"/>
        </w:rPr>
        <w:t xml:space="preserve"> отношения</w:t>
      </w:r>
      <w:r>
        <w:rPr>
          <w:sz w:val="24"/>
        </w:rPr>
        <w:t>.</w:t>
      </w:r>
    </w:p>
    <w:p w14:paraId="61000000">
      <w:pPr>
        <w:pStyle w:val="Style_5"/>
        <w:numPr>
          <w:ilvl w:val="1"/>
          <w:numId w:val="1"/>
        </w:numPr>
        <w:tabs>
          <w:tab w:leader="none" w:pos="1418" w:val="left"/>
        </w:tabs>
        <w:ind w:firstLine="709" w:left="142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 xml:space="preserve">Задачами </w:t>
      </w:r>
      <w:r>
        <w:rPr>
          <w:b w:val="1"/>
          <w:sz w:val="24"/>
        </w:rPr>
        <w:t>итоговой</w:t>
      </w:r>
      <w:r>
        <w:rPr>
          <w:b w:val="1"/>
          <w:sz w:val="24"/>
        </w:rPr>
        <w:t xml:space="preserve"> аттестации являются:</w:t>
      </w:r>
    </w:p>
    <w:p w14:paraId="62000000">
      <w:pPr>
        <w:pStyle w:val="Style_5"/>
        <w:tabs>
          <w:tab w:leader="none" w:pos="1418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 xml:space="preserve">проверка </w:t>
      </w:r>
      <w:r>
        <w:rPr>
          <w:sz w:val="24"/>
        </w:rPr>
        <w:t xml:space="preserve">результатов освоения образовательной программы аспирантуры </w:t>
      </w:r>
      <w:r>
        <w:rPr>
          <w:sz w:val="24"/>
        </w:rPr>
        <w:t xml:space="preserve">по направлению подготовки </w:t>
      </w:r>
      <w:r>
        <w:rPr>
          <w:sz w:val="24"/>
        </w:rPr>
        <w:t>5.1.3.</w:t>
      </w:r>
      <w:r>
        <w:rPr>
          <w:sz w:val="24"/>
        </w:rPr>
        <w:t xml:space="preserve"> </w:t>
      </w:r>
      <w:r>
        <w:rPr>
          <w:sz w:val="24"/>
        </w:rPr>
        <w:t>Частно-правовые</w:t>
      </w:r>
      <w:r>
        <w:rPr>
          <w:sz w:val="24"/>
        </w:rPr>
        <w:t xml:space="preserve"> (</w:t>
      </w:r>
      <w:r>
        <w:rPr>
          <w:sz w:val="24"/>
        </w:rPr>
        <w:t>цивилистические</w:t>
      </w:r>
      <w:r>
        <w:rPr>
          <w:sz w:val="24"/>
        </w:rPr>
        <w:t>) науки</w:t>
      </w:r>
      <w:r>
        <w:rPr>
          <w:sz w:val="24"/>
        </w:rPr>
        <w:t xml:space="preserve">, направленность программы – </w:t>
      </w:r>
      <w:r>
        <w:rPr>
          <w:sz w:val="24"/>
        </w:rPr>
        <w:t xml:space="preserve">Энергетическое право. </w:t>
      </w:r>
      <w:r>
        <w:rPr>
          <w:sz w:val="24"/>
        </w:rPr>
        <w:t>Частно</w:t>
      </w:r>
      <w:r>
        <w:rPr>
          <w:sz w:val="24"/>
        </w:rPr>
        <w:t>-правовые</w:t>
      </w:r>
      <w:r>
        <w:rPr>
          <w:sz w:val="24"/>
        </w:rPr>
        <w:t xml:space="preserve"> отношения</w:t>
      </w:r>
      <w:r>
        <w:rPr>
          <w:sz w:val="24"/>
        </w:rPr>
        <w:t xml:space="preserve"> в соотве</w:t>
      </w:r>
      <w:r>
        <w:rPr>
          <w:sz w:val="24"/>
        </w:rPr>
        <w:t>т</w:t>
      </w:r>
      <w:r>
        <w:rPr>
          <w:sz w:val="24"/>
        </w:rPr>
        <w:t>ствии с требованиями ФГТ</w:t>
      </w:r>
      <w:r>
        <w:rPr>
          <w:sz w:val="24"/>
        </w:rPr>
        <w:t>;</w:t>
      </w:r>
    </w:p>
    <w:p w14:paraId="63000000">
      <w:pPr>
        <w:pStyle w:val="Style_5"/>
        <w:tabs>
          <w:tab w:leader="none" w:pos="1418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 xml:space="preserve">оценки диссертации на соискание научной степени кандидата наук на предмет соответствия ее критериям, установленным в соответствии с Федеральным законом от 23 августа 1996 года N 127-ФЗ </w:t>
      </w:r>
      <w:r>
        <w:rPr>
          <w:sz w:val="24"/>
        </w:rPr>
        <w:t>«</w:t>
      </w:r>
      <w:r>
        <w:rPr>
          <w:sz w:val="24"/>
        </w:rPr>
        <w:t>О науке и государственной научно-технической политике».</w:t>
      </w:r>
    </w:p>
    <w:p w14:paraId="64000000">
      <w:pPr>
        <w:pStyle w:val="Style_5"/>
        <w:numPr>
          <w:ilvl w:val="1"/>
          <w:numId w:val="1"/>
        </w:numPr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соответствии с требованиями ФГТ</w:t>
      </w:r>
      <w:r>
        <w:rPr>
          <w:sz w:val="24"/>
        </w:rPr>
        <w:t xml:space="preserve"> и Программой аспирантуры по направлению подготовки </w:t>
      </w:r>
      <w:r>
        <w:rPr>
          <w:sz w:val="24"/>
        </w:rPr>
        <w:t>5.1.3.</w:t>
      </w:r>
      <w:r>
        <w:rPr>
          <w:sz w:val="24"/>
        </w:rPr>
        <w:t xml:space="preserve"> </w:t>
      </w:r>
      <w:r>
        <w:rPr>
          <w:sz w:val="24"/>
        </w:rPr>
        <w:t>Частно-правовые</w:t>
      </w:r>
      <w:r>
        <w:rPr>
          <w:sz w:val="24"/>
        </w:rPr>
        <w:t xml:space="preserve"> (</w:t>
      </w:r>
      <w:r>
        <w:rPr>
          <w:sz w:val="24"/>
        </w:rPr>
        <w:t>цивилистические</w:t>
      </w:r>
      <w:r>
        <w:rPr>
          <w:sz w:val="24"/>
        </w:rPr>
        <w:t>) науки</w:t>
      </w:r>
      <w:r>
        <w:rPr>
          <w:sz w:val="24"/>
        </w:rPr>
        <w:t xml:space="preserve">, направленность программы – </w:t>
      </w:r>
      <w:r>
        <w:rPr>
          <w:sz w:val="24"/>
        </w:rPr>
        <w:t xml:space="preserve">Энергетическое право. </w:t>
      </w:r>
      <w:r>
        <w:rPr>
          <w:sz w:val="24"/>
        </w:rPr>
        <w:t>Частно</w:t>
      </w:r>
      <w:r>
        <w:rPr>
          <w:sz w:val="24"/>
        </w:rPr>
        <w:t>-правовые</w:t>
      </w:r>
      <w:r>
        <w:rPr>
          <w:sz w:val="24"/>
        </w:rPr>
        <w:t xml:space="preserve"> отношения</w:t>
      </w:r>
      <w:r>
        <w:rPr>
          <w:sz w:val="24"/>
        </w:rPr>
        <w:t xml:space="preserve"> в результате освоения обучающийся должен обладать следующими компетенциями:</w:t>
      </w:r>
    </w:p>
    <w:p w14:paraId="65000000">
      <w:pPr>
        <w:tabs>
          <w:tab w:leader="none" w:pos="1621" w:val="left"/>
        </w:tabs>
        <w:ind w:firstLine="709" w:left="142" w:right="347"/>
        <w:jc w:val="both"/>
        <w:rPr>
          <w:b w:val="1"/>
          <w:sz w:val="24"/>
        </w:rPr>
      </w:pPr>
      <w:r>
        <w:rPr>
          <w:b w:val="1"/>
          <w:sz w:val="24"/>
        </w:rPr>
        <w:t>Универсальные:</w:t>
      </w:r>
    </w:p>
    <w:p w14:paraId="66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14:paraId="67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14:paraId="68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готовность участвовать в работе российских и международных исследовательских коллективов по решению научных задач (УК-3);</w:t>
      </w:r>
    </w:p>
    <w:p w14:paraId="69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готовность использовать современные методы и технологии научной коммуникации на государственном и иностранном языках (УК-4);</w:t>
      </w:r>
    </w:p>
    <w:p w14:paraId="6A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 способность следовать этическим нормам в профессиональной деятельности (УК-5);</w:t>
      </w:r>
    </w:p>
    <w:p w14:paraId="6B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способность планировать и решать задачи собственного профессионального и личностного развития (УК-6).</w:t>
      </w:r>
    </w:p>
    <w:p w14:paraId="6C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Общепрофессиональные:</w:t>
      </w:r>
    </w:p>
    <w:p w14:paraId="6D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владение методологией научно-исследовательской деятельности в области юриспруденции (ОПК-1);</w:t>
      </w:r>
    </w:p>
    <w:p w14:paraId="6E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владение культурой научного исследования в области юриспруденции, в том числе с использованием новейших информационно-коммуникационных технологий (ОПК-2);</w:t>
      </w:r>
    </w:p>
    <w:p w14:paraId="6F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способность к разработке новых методов исследования и их применению в самостоятельной научно-исследовательской деятельности в области юриспруденции с соблюдением законодательства Российской Федерации об авторском праве (ОПК-3);</w:t>
      </w:r>
    </w:p>
    <w:p w14:paraId="70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готовность организовать работу исследовательского коллектива в области юриспруденции (ОПК-4);</w:t>
      </w:r>
    </w:p>
    <w:p w14:paraId="71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Профессиональные:</w:t>
      </w:r>
    </w:p>
    <w:p w14:paraId="72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 xml:space="preserve">- способность к оценке современных научных достижений, генерированию новых </w:t>
      </w:r>
      <w:r>
        <w:rPr>
          <w:sz w:val="24"/>
        </w:rPr>
        <w:t xml:space="preserve">идей при решении исследовательских задач в области юриспруденции в соответствии с научной специальностью </w:t>
      </w:r>
      <w:r>
        <w:rPr>
          <w:sz w:val="24"/>
        </w:rPr>
        <w:t>5.1.5. Международно-правовые науки</w:t>
      </w:r>
      <w:r>
        <w:rPr>
          <w:sz w:val="24"/>
        </w:rPr>
        <w:t xml:space="preserve"> (ПК-2</w:t>
      </w:r>
      <w:r>
        <w:rPr>
          <w:sz w:val="24"/>
        </w:rPr>
        <w:t>).</w:t>
      </w:r>
    </w:p>
    <w:p w14:paraId="73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1.5</w:t>
      </w:r>
      <w:r>
        <w:rPr>
          <w:b w:val="1"/>
          <w:sz w:val="24"/>
        </w:rPr>
        <w:t xml:space="preserve">.     </w:t>
      </w:r>
      <w:r>
        <w:rPr>
          <w:b w:val="1"/>
          <w:sz w:val="24"/>
        </w:rPr>
        <w:t>И</w:t>
      </w:r>
      <w:r>
        <w:rPr>
          <w:b w:val="1"/>
          <w:sz w:val="24"/>
        </w:rPr>
        <w:t xml:space="preserve">тоговая аттестация проводится в следующих </w:t>
      </w:r>
      <w:r>
        <w:rPr>
          <w:b w:val="1"/>
          <w:sz w:val="24"/>
        </w:rPr>
        <w:t>фо</w:t>
      </w:r>
      <w:r>
        <w:rPr>
          <w:b w:val="1"/>
          <w:sz w:val="24"/>
        </w:rPr>
        <w:t>рмах:</w:t>
      </w:r>
    </w:p>
    <w:p w14:paraId="74000000">
      <w:pPr>
        <w:pStyle w:val="Style_5"/>
        <w:tabs>
          <w:tab w:leader="none" w:pos="1621" w:val="left"/>
        </w:tabs>
        <w:ind w:firstLine="709" w:left="142" w:right="34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>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</w:t>
      </w:r>
    </w:p>
    <w:p w14:paraId="75000000">
      <w:pPr>
        <w:tabs>
          <w:tab w:leader="none" w:pos="1621" w:val="left"/>
        </w:tabs>
        <w:ind w:firstLine="709" w:left="142" w:right="347"/>
        <w:jc w:val="both"/>
        <w:rPr>
          <w:b w:val="1"/>
          <w:sz w:val="24"/>
        </w:rPr>
      </w:pPr>
      <w:r>
        <w:rPr>
          <w:b w:val="1"/>
          <w:sz w:val="24"/>
        </w:rPr>
        <w:t>К</w:t>
      </w:r>
      <w:r>
        <w:rPr>
          <w:b w:val="1"/>
          <w:sz w:val="24"/>
        </w:rPr>
        <w:t xml:space="preserve"> итоговой аттестации допускаются обучающиеся при наличии:</w:t>
      </w:r>
    </w:p>
    <w:p w14:paraId="76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подготовленной диссертации;</w:t>
      </w:r>
    </w:p>
    <w:p w14:paraId="77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отчета о проверке диссертации в системе «Антиплагиат»;</w:t>
      </w:r>
    </w:p>
    <w:p w14:paraId="78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не менее трех опубликованных научных статей, в которых излагаются основные научные результаты диссертации на соискание ученой степени кандидата наук, в рецензируемых научных изданиях, включенных в Перечень рецензируемых изданий в соответствии с пунктом 12 Положения о присуждении ученых степеней, утвержденного Постановлением Правительства Российской Федерации от 24.09.2013 № 842 «О порядке присуждения ученых степеней»</w:t>
      </w:r>
    </w:p>
    <w:p w14:paraId="79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 xml:space="preserve"> </w:t>
      </w:r>
      <w:r>
        <w:rPr>
          <w:sz w:val="24"/>
        </w:rPr>
        <w:t xml:space="preserve">рекомендации </w:t>
      </w:r>
      <w:r>
        <w:rPr>
          <w:sz w:val="24"/>
        </w:rPr>
        <w:t>Центра по</w:t>
      </w:r>
      <w:r>
        <w:rPr>
          <w:sz w:val="24"/>
        </w:rPr>
        <w:t xml:space="preserve"> </w:t>
      </w:r>
      <w:r>
        <w:rPr>
          <w:sz w:val="24"/>
        </w:rPr>
        <w:t>результатам предварительной</w:t>
      </w:r>
      <w:r>
        <w:rPr>
          <w:sz w:val="24"/>
        </w:rPr>
        <w:t xml:space="preserve"> экспертизы диссертации в Центре энергетического права</w:t>
      </w:r>
      <w:r>
        <w:rPr>
          <w:sz w:val="24"/>
        </w:rPr>
        <w:t xml:space="preserve"> о допуске к итоговой аттестации;</w:t>
      </w:r>
    </w:p>
    <w:p w14:paraId="7A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аттестации аспиранта по блоку «Научны</w:t>
      </w:r>
      <w:r>
        <w:rPr>
          <w:sz w:val="24"/>
        </w:rPr>
        <w:t>й компонент</w:t>
      </w:r>
      <w:r>
        <w:rPr>
          <w:sz w:val="24"/>
        </w:rPr>
        <w:t>»</w:t>
      </w:r>
      <w:r>
        <w:rPr>
          <w:sz w:val="24"/>
        </w:rPr>
        <w:t>;</w:t>
      </w:r>
    </w:p>
    <w:p w14:paraId="7B000000">
      <w:pPr>
        <w:pStyle w:val="Style_5"/>
        <w:tabs>
          <w:tab w:leader="none" w:pos="1621" w:val="left"/>
        </w:tabs>
        <w:ind w:right="347"/>
        <w:contextualSpacing w:val="0"/>
        <w:jc w:val="both"/>
        <w:rPr>
          <w:sz w:val="24"/>
        </w:rPr>
      </w:pPr>
      <w:r>
        <w:rPr>
          <w:sz w:val="24"/>
        </w:rPr>
        <w:t xml:space="preserve">    - полностью выполненный идивидуальный план работы аспиранта;</w:t>
      </w:r>
    </w:p>
    <w:p w14:paraId="7C000000">
      <w:pPr>
        <w:pStyle w:val="Style_5"/>
        <w:tabs>
          <w:tab w:leader="none" w:pos="1621" w:val="left"/>
        </w:tabs>
        <w:ind w:firstLine="709" w:left="142" w:right="347"/>
        <w:contextualSpacing w:val="0"/>
        <w:jc w:val="both"/>
        <w:rPr>
          <w:sz w:val="24"/>
        </w:rPr>
      </w:pPr>
      <w:r>
        <w:rPr>
          <w:sz w:val="24"/>
        </w:rPr>
        <w:t>- отзыва научного руководи</w:t>
      </w:r>
      <w:r>
        <w:rPr>
          <w:sz w:val="24"/>
        </w:rPr>
        <w:t>теля на выполненную диссертацию.</w:t>
      </w:r>
    </w:p>
    <w:p w14:paraId="7D000000">
      <w:pPr>
        <w:tabs>
          <w:tab w:leader="none" w:pos="851" w:val="left"/>
          <w:tab w:leader="none" w:pos="993" w:val="left"/>
          <w:tab w:leader="none" w:pos="1621" w:val="left"/>
        </w:tabs>
        <w:ind w:firstLine="709" w:left="142" w:right="347"/>
        <w:jc w:val="both"/>
        <w:rPr>
          <w:sz w:val="24"/>
        </w:rPr>
      </w:pPr>
      <w:r>
        <w:rPr>
          <w:sz w:val="24"/>
        </w:rPr>
        <w:t xml:space="preserve">При </w:t>
      </w:r>
      <w:r>
        <w:rPr>
          <w:sz w:val="24"/>
        </w:rPr>
        <w:t>н</w:t>
      </w:r>
      <w:r>
        <w:rPr>
          <w:sz w:val="24"/>
        </w:rPr>
        <w:t xml:space="preserve">аличии указанных документов </w:t>
      </w:r>
      <w:r>
        <w:rPr>
          <w:sz w:val="24"/>
        </w:rPr>
        <w:t>Центр</w:t>
      </w:r>
      <w:r>
        <w:rPr>
          <w:sz w:val="24"/>
        </w:rPr>
        <w:t xml:space="preserve"> оформля</w:t>
      </w:r>
      <w:r>
        <w:rPr>
          <w:sz w:val="24"/>
        </w:rPr>
        <w:t xml:space="preserve">ет приказ о допуске аспиранта к </w:t>
      </w:r>
      <w:r>
        <w:rPr>
          <w:sz w:val="24"/>
        </w:rPr>
        <w:t>итоговой аттестации.</w:t>
      </w:r>
    </w:p>
    <w:p w14:paraId="7E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709" w:left="142" w:right="347"/>
        <w:contextualSpacing w:val="0"/>
        <w:jc w:val="center"/>
        <w:rPr>
          <w:b w:val="1"/>
          <w:sz w:val="24"/>
        </w:rPr>
      </w:pPr>
    </w:p>
    <w:p w14:paraId="7F000000">
      <w:pPr>
        <w:pStyle w:val="Style_5"/>
        <w:numPr>
          <w:ilvl w:val="0"/>
          <w:numId w:val="1"/>
        </w:numPr>
        <w:tabs>
          <w:tab w:leader="none" w:pos="851" w:val="left"/>
          <w:tab w:leader="none" w:pos="993" w:val="left"/>
        </w:tabs>
        <w:spacing w:before="72"/>
        <w:ind w:firstLine="707" w:left="0" w:right="-1"/>
        <w:jc w:val="center"/>
        <w:rPr>
          <w:b w:val="1"/>
          <w:sz w:val="24"/>
        </w:rPr>
      </w:pPr>
      <w:r>
        <w:rPr>
          <w:b w:val="1"/>
          <w:sz w:val="24"/>
        </w:rPr>
        <w:t>ТРУДОЕМКОСТЬ ИТОГОВОЙ АТТЕСТАЦИИ</w:t>
      </w:r>
    </w:p>
    <w:p w14:paraId="80000000">
      <w:pPr>
        <w:pStyle w:val="Style_5"/>
        <w:tabs>
          <w:tab w:leader="none" w:pos="851" w:val="left"/>
          <w:tab w:leader="none" w:pos="993" w:val="left"/>
        </w:tabs>
        <w:spacing w:before="72"/>
        <w:ind w:firstLine="707" w:left="0" w:right="1611"/>
        <w:rPr>
          <w:b w:val="1"/>
          <w:sz w:val="24"/>
        </w:rPr>
      </w:pPr>
    </w:p>
    <w:p w14:paraId="81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707" w:left="0" w:right="347"/>
        <w:contextualSpacing w:val="0"/>
        <w:jc w:val="both"/>
        <w:rPr>
          <w:sz w:val="24"/>
        </w:rPr>
      </w:pPr>
      <w:r>
        <w:rPr>
          <w:sz w:val="24"/>
        </w:rPr>
        <w:t xml:space="preserve">Трудоемкость итоговой аттестации составляет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з.е</w:t>
      </w:r>
      <w:r>
        <w:rPr>
          <w:sz w:val="24"/>
        </w:rPr>
        <w:t xml:space="preserve">. </w:t>
      </w:r>
      <w:r>
        <w:rPr>
          <w:sz w:val="24"/>
        </w:rPr>
        <w:t>108</w:t>
      </w:r>
      <w:r>
        <w:rPr>
          <w:sz w:val="24"/>
        </w:rPr>
        <w:t xml:space="preserve"> ч.</w:t>
      </w:r>
      <w:r>
        <w:rPr>
          <w:sz w:val="24"/>
        </w:rPr>
        <w:t xml:space="preserve"> </w:t>
      </w:r>
      <w:r>
        <w:rPr>
          <w:sz w:val="24"/>
        </w:rPr>
        <w:t>из</w:t>
      </w:r>
      <w:r>
        <w:rPr>
          <w:sz w:val="24"/>
        </w:rPr>
        <w:t xml:space="preserve"> них: </w:t>
      </w:r>
    </w:p>
    <w:p w14:paraId="82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707" w:left="0" w:right="347"/>
        <w:contextualSpacing w:val="0"/>
        <w:jc w:val="both"/>
        <w:rPr>
          <w:sz w:val="24"/>
        </w:rPr>
      </w:pPr>
      <w:r>
        <w:rPr>
          <w:sz w:val="24"/>
        </w:rPr>
        <w:t xml:space="preserve">Представление научного доклада об основных результатах подготовленной научно-квалификационной работы (диссертации) – </w:t>
      </w:r>
      <w:r>
        <w:rPr>
          <w:sz w:val="24"/>
        </w:rPr>
        <w:t>3</w:t>
      </w:r>
      <w:r>
        <w:rPr>
          <w:sz w:val="24"/>
        </w:rPr>
        <w:t xml:space="preserve"> </w:t>
      </w:r>
      <w:r>
        <w:rPr>
          <w:sz w:val="24"/>
        </w:rPr>
        <w:t>з.е</w:t>
      </w:r>
      <w:r>
        <w:rPr>
          <w:sz w:val="24"/>
        </w:rPr>
        <w:t xml:space="preserve">. </w:t>
      </w:r>
      <w:r>
        <w:rPr>
          <w:sz w:val="24"/>
        </w:rPr>
        <w:t>108</w:t>
      </w:r>
      <w:r>
        <w:rPr>
          <w:sz w:val="24"/>
        </w:rPr>
        <w:t xml:space="preserve"> ч.</w:t>
      </w:r>
      <w:r>
        <w:rPr>
          <w:sz w:val="24"/>
        </w:rPr>
        <w:t xml:space="preserve"> </w:t>
      </w:r>
    </w:p>
    <w:p w14:paraId="83000000">
      <w:pPr>
        <w:pStyle w:val="Style_5"/>
        <w:tabs>
          <w:tab w:leader="none" w:pos="851" w:val="left"/>
          <w:tab w:leader="none" w:pos="993" w:val="left"/>
          <w:tab w:leader="none" w:pos="1621" w:val="left"/>
        </w:tabs>
        <w:ind w:firstLine="707" w:left="0" w:right="347"/>
        <w:contextualSpacing w:val="0"/>
        <w:jc w:val="both"/>
        <w:rPr>
          <w:sz w:val="24"/>
        </w:rPr>
      </w:pPr>
    </w:p>
    <w:p w14:paraId="84000000">
      <w:pPr>
        <w:pStyle w:val="Style_5"/>
        <w:numPr>
          <w:ilvl w:val="0"/>
          <w:numId w:val="1"/>
        </w:numPr>
        <w:spacing w:before="72"/>
        <w:ind w:hanging="284" w:left="1418" w:right="140"/>
        <w:jc w:val="both"/>
        <w:rPr>
          <w:b w:val="1"/>
          <w:sz w:val="24"/>
        </w:rPr>
      </w:pPr>
      <w:r>
        <w:rPr>
          <w:b w:val="1"/>
          <w:sz w:val="24"/>
        </w:rPr>
        <w:t>ПОРЯДОК ПОДГОТОВКИ И СОДЕРЖАНИЕ НАУЧНОГО ДОКЛАДА</w:t>
      </w:r>
    </w:p>
    <w:p w14:paraId="85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.1. </w:t>
      </w:r>
      <w:r>
        <w:rPr>
          <w:sz w:val="24"/>
        </w:rPr>
        <w:t>Научный доклад представляется по результатам подготовленной диссертации, отчета о проверке текста в системе Антиплагиат, опубликованных научных статьях в соответствии с п.</w:t>
      </w:r>
      <w:r>
        <w:rPr>
          <w:sz w:val="24"/>
        </w:rPr>
        <w:t xml:space="preserve"> </w:t>
      </w:r>
      <w:r>
        <w:rPr>
          <w:sz w:val="24"/>
        </w:rPr>
        <w:t>12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степеней», отзыва научного руководителя</w:t>
      </w:r>
      <w:r>
        <w:rPr>
          <w:sz w:val="24"/>
        </w:rPr>
        <w:t xml:space="preserve"> на диссертацию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заключени</w:t>
      </w:r>
      <w:r>
        <w:rPr>
          <w:sz w:val="24"/>
        </w:rPr>
        <w:t>е</w:t>
      </w:r>
      <w:r>
        <w:rPr>
          <w:sz w:val="24"/>
        </w:rPr>
        <w:t xml:space="preserve"> Центра</w:t>
      </w:r>
      <w:r>
        <w:rPr>
          <w:sz w:val="24"/>
        </w:rPr>
        <w:t xml:space="preserve">  в соответствии с п.16 Положения о присуждении ученых степеней, утвержденного Постановлением Правительства Российской Федерации от 24 сентября 2013 г. № 842, </w:t>
      </w:r>
      <w:r>
        <w:rPr>
          <w:sz w:val="24"/>
        </w:rPr>
        <w:t xml:space="preserve"> допуска к итоговой аттестации.</w:t>
      </w:r>
    </w:p>
    <w:p w14:paraId="86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.2. </w:t>
      </w:r>
      <w:r>
        <w:rPr>
          <w:sz w:val="24"/>
        </w:rPr>
        <w:t>Текст научного доклада должен быть подготовлен аспирантом сам</w:t>
      </w:r>
      <w:r>
        <w:rPr>
          <w:sz w:val="24"/>
        </w:rPr>
        <w:t xml:space="preserve">остоятельно, </w:t>
      </w:r>
      <w:r>
        <w:rPr>
          <w:sz w:val="24"/>
        </w:rPr>
        <w:t>содержать основные результаты подготовленной диссертации</w:t>
      </w:r>
      <w:r>
        <w:rPr>
          <w:sz w:val="24"/>
        </w:rPr>
        <w:t>, перечень опубликованных работ, результатов апробации</w:t>
      </w:r>
      <w:r>
        <w:rPr>
          <w:sz w:val="24"/>
        </w:rPr>
        <w:t>. Аспирант должен представить отчет о проверке научного доклада в системе Антиплагиат.</w:t>
      </w:r>
    </w:p>
    <w:p w14:paraId="87000000">
      <w:pPr>
        <w:pStyle w:val="Style_5"/>
        <w:tabs>
          <w:tab w:leader="none" w:pos="1621" w:val="left"/>
        </w:tabs>
        <w:ind w:firstLine="625" w:left="284" w:right="347"/>
        <w:contextualSpacing w:val="0"/>
        <w:jc w:val="both"/>
        <w:rPr>
          <w:b w:val="1"/>
          <w:sz w:val="24"/>
        </w:rPr>
      </w:pPr>
      <w:r>
        <w:rPr>
          <w:b w:val="1"/>
          <w:sz w:val="24"/>
        </w:rPr>
        <w:t>3</w:t>
      </w:r>
      <w:r>
        <w:rPr>
          <w:b w:val="1"/>
          <w:sz w:val="24"/>
        </w:rPr>
        <w:t xml:space="preserve">.3. </w:t>
      </w:r>
      <w:r>
        <w:rPr>
          <w:sz w:val="24"/>
        </w:rPr>
        <w:t>Научный доклад передается в экзаменационную комиссию не позднее чем за 30 дней до проведения итоговой аттестации.</w:t>
      </w:r>
    </w:p>
    <w:p w14:paraId="88000000">
      <w:pPr>
        <w:pStyle w:val="Style_5"/>
        <w:spacing w:before="72"/>
        <w:ind w:firstLine="0" w:left="1827" w:right="1611"/>
        <w:jc w:val="both"/>
        <w:rPr>
          <w:b w:val="1"/>
          <w:sz w:val="28"/>
        </w:rPr>
      </w:pPr>
    </w:p>
    <w:p w14:paraId="89000000">
      <w:pPr>
        <w:pStyle w:val="Style_5"/>
        <w:numPr>
          <w:ilvl w:val="0"/>
          <w:numId w:val="1"/>
        </w:numPr>
        <w:spacing w:before="72"/>
        <w:ind w:hanging="284" w:left="1418" w:right="1611"/>
        <w:jc w:val="center"/>
        <w:rPr>
          <w:b w:val="1"/>
          <w:sz w:val="24"/>
        </w:rPr>
      </w:pPr>
      <w:r>
        <w:rPr>
          <w:b w:val="1"/>
          <w:sz w:val="24"/>
        </w:rPr>
        <w:t>КРИТЕРИИ ОЦЕНКИ НАУЧНОГО ДОКЛАДА</w:t>
      </w:r>
    </w:p>
    <w:p w14:paraId="8A000000">
      <w:pPr>
        <w:pStyle w:val="Style_5"/>
        <w:spacing w:before="72"/>
        <w:ind w:firstLine="0" w:left="1827" w:right="1611"/>
        <w:rPr>
          <w:sz w:val="24"/>
        </w:rPr>
      </w:pPr>
    </w:p>
    <w:tbl>
      <w:tblPr>
        <w:tblStyle w:val="Style_6"/>
        <w:tblInd w:type="dxa" w:w="279"/>
        <w:tblLayout w:type="fixed"/>
      </w:tblPr>
      <w:tblGrid>
        <w:gridCol w:w="4085"/>
        <w:gridCol w:w="5549"/>
      </w:tblGrid>
      <w:tr>
        <w:tc>
          <w:tcPr>
            <w:tcW w:type="dxa" w:w="4085"/>
          </w:tcPr>
          <w:p w14:paraId="8B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type="dxa" w:w="5549"/>
          </w:tcPr>
          <w:p w14:paraId="8C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Критерии оценки</w:t>
            </w:r>
          </w:p>
        </w:tc>
      </w:tr>
      <w:tr>
        <w:trPr>
          <w:trHeight w:hRule="atLeast" w:val="1506"/>
        </w:trPr>
        <w:tc>
          <w:tcPr>
            <w:tcW w:type="dxa" w:w="4085"/>
          </w:tcPr>
          <w:p w14:paraId="8D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type="dxa" w:w="5549"/>
          </w:tcPr>
          <w:p w14:paraId="8E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Аспирант </w:t>
            </w:r>
            <w:r>
              <w:rPr>
                <w:sz w:val="24"/>
              </w:rPr>
              <w:t xml:space="preserve">уверенно </w:t>
            </w:r>
            <w:r>
              <w:rPr>
                <w:sz w:val="24"/>
              </w:rPr>
              <w:t xml:space="preserve">обосновал </w:t>
            </w:r>
            <w:r>
              <w:rPr>
                <w:sz w:val="24"/>
              </w:rPr>
              <w:t xml:space="preserve">теоретическую и практическую значимость </w:t>
            </w:r>
            <w:r>
              <w:rPr>
                <w:sz w:val="24"/>
              </w:rPr>
              <w:t>результатов диссертационного исследования</w:t>
            </w:r>
            <w:r>
              <w:rPr>
                <w:sz w:val="24"/>
              </w:rPr>
              <w:t xml:space="preserve">, продемонстрировал умение аргументированно вести научную дискуссию. </w:t>
            </w:r>
            <w:r>
              <w:rPr>
                <w:sz w:val="24"/>
              </w:rPr>
              <w:t xml:space="preserve">Аспирант способен к </w:t>
            </w:r>
            <w:r>
              <w:rPr>
                <w:sz w:val="24"/>
              </w:rPr>
              <w:t>оценке современных научных достижений, генерированию новых идей при решении исследовательских задач по корпоративному</w:t>
            </w:r>
            <w:r>
              <w:rPr>
                <w:sz w:val="24"/>
              </w:rPr>
              <w:t xml:space="preserve"> праву</w:t>
            </w:r>
            <w:r>
              <w:rPr>
                <w:sz w:val="24"/>
              </w:rPr>
              <w:t>, конкурентному</w:t>
            </w:r>
            <w:r>
              <w:rPr>
                <w:sz w:val="24"/>
              </w:rPr>
              <w:t xml:space="preserve"> праву</w:t>
            </w:r>
            <w:r>
              <w:rPr>
                <w:sz w:val="24"/>
              </w:rPr>
              <w:t>, энергетическому праву</w:t>
            </w:r>
          </w:p>
        </w:tc>
      </w:tr>
      <w:tr>
        <w:trPr>
          <w:trHeight w:hRule="atLeast" w:val="1839"/>
        </w:trPr>
        <w:tc>
          <w:tcPr>
            <w:tcW w:type="dxa" w:w="4085"/>
          </w:tcPr>
          <w:p w14:paraId="8F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type="dxa" w:w="5549"/>
          </w:tcPr>
          <w:p w14:paraId="90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>Аспирант обосновал</w:t>
            </w:r>
            <w:r>
              <w:rPr>
                <w:sz w:val="24"/>
              </w:rPr>
              <w:t xml:space="preserve"> теоретическую и практическую значимость </w:t>
            </w:r>
            <w:r>
              <w:rPr>
                <w:sz w:val="24"/>
              </w:rPr>
              <w:t>результатов диссертационного исследования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продемонстрировал </w:t>
            </w:r>
            <w:r>
              <w:rPr>
                <w:sz w:val="24"/>
              </w:rPr>
              <w:t>умение вести</w:t>
            </w:r>
            <w:r>
              <w:rPr>
                <w:sz w:val="24"/>
              </w:rPr>
              <w:t xml:space="preserve"> научную дискуссию. </w:t>
            </w:r>
            <w:r>
              <w:rPr>
                <w:sz w:val="24"/>
              </w:rPr>
              <w:t xml:space="preserve">Аспирант способен к оценке современных научных достижений, генерированию новых идей при решении исследовательских задач по корпоративному праву, конкурентному праву, энергетическому праву. </w:t>
            </w:r>
            <w:r>
              <w:rPr>
                <w:sz w:val="24"/>
              </w:rPr>
              <w:t>Отдельные положения,</w:t>
            </w:r>
            <w:r>
              <w:rPr>
                <w:sz w:val="24"/>
              </w:rPr>
              <w:t xml:space="preserve"> выносимые </w:t>
            </w:r>
            <w:r>
              <w:rPr>
                <w:sz w:val="24"/>
              </w:rPr>
              <w:t>на защиту</w:t>
            </w:r>
            <w:r>
              <w:rPr>
                <w:sz w:val="24"/>
              </w:rPr>
              <w:t xml:space="preserve"> не были достаточно аргументированы.</w:t>
            </w:r>
          </w:p>
        </w:tc>
      </w:tr>
      <w:tr>
        <w:trPr>
          <w:trHeight w:hRule="atLeast" w:val="1537"/>
        </w:trPr>
        <w:tc>
          <w:tcPr>
            <w:tcW w:type="dxa" w:w="4085"/>
          </w:tcPr>
          <w:p w14:paraId="91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type="dxa" w:w="5549"/>
          </w:tcPr>
          <w:p w14:paraId="92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Аспирант </w:t>
            </w:r>
            <w:r>
              <w:rPr>
                <w:sz w:val="24"/>
              </w:rPr>
              <w:t>недостаточно</w:t>
            </w:r>
            <w:r>
              <w:rPr>
                <w:sz w:val="24"/>
              </w:rPr>
              <w:t xml:space="preserve"> полно обосновал теоретическую и практическую значимость результатов диссертационного исследования, ответы в ходе научной дискуссии не были аргументированы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1831"/>
        </w:trPr>
        <w:tc>
          <w:tcPr>
            <w:tcW w:type="dxa" w:w="4085"/>
          </w:tcPr>
          <w:p w14:paraId="93000000">
            <w:pPr>
              <w:pStyle w:val="Style_5"/>
              <w:spacing w:before="72"/>
              <w:ind w:firstLine="0" w:left="0" w:right="1611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type="dxa" w:w="5549"/>
          </w:tcPr>
          <w:p w14:paraId="94000000">
            <w:pPr>
              <w:pStyle w:val="Style_5"/>
              <w:tabs>
                <w:tab w:leader="none" w:pos="3219" w:val="left"/>
              </w:tabs>
              <w:spacing w:before="72"/>
              <w:ind w:firstLine="0" w:left="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Аспирант продемонстрировал отсутствие глубоких знаний исследуемой научной </w:t>
            </w:r>
            <w:r>
              <w:rPr>
                <w:sz w:val="24"/>
              </w:rPr>
              <w:t>проблемы, неумение</w:t>
            </w:r>
            <w:r>
              <w:rPr>
                <w:sz w:val="24"/>
              </w:rPr>
              <w:t xml:space="preserve"> вести научную дискуссию, неумение обосновать </w:t>
            </w:r>
            <w:r>
              <w:rPr>
                <w:sz w:val="24"/>
              </w:rPr>
              <w:t>теоретическую и</w:t>
            </w:r>
            <w:r>
              <w:rPr>
                <w:sz w:val="24"/>
              </w:rPr>
              <w:t xml:space="preserve"> практическую значимость результатов диссертационного исследования</w:t>
            </w:r>
          </w:p>
        </w:tc>
      </w:tr>
    </w:tbl>
    <w:p w14:paraId="95000000">
      <w:pPr>
        <w:pStyle w:val="Style_5"/>
        <w:spacing w:before="72"/>
        <w:ind w:firstLine="0" w:left="1827" w:right="1611"/>
        <w:rPr>
          <w:sz w:val="24"/>
        </w:rPr>
      </w:pPr>
    </w:p>
    <w:p w14:paraId="96000000">
      <w:pPr>
        <w:pStyle w:val="Style_5"/>
        <w:spacing w:before="72"/>
        <w:ind w:firstLine="0" w:left="1827" w:right="1611"/>
        <w:rPr>
          <w:sz w:val="24"/>
        </w:rPr>
      </w:pPr>
    </w:p>
    <w:p w14:paraId="97000000">
      <w:pPr>
        <w:pStyle w:val="Style_5"/>
        <w:keepNext w:val="1"/>
        <w:widowControl w:val="1"/>
        <w:numPr>
          <w:ilvl w:val="0"/>
          <w:numId w:val="1"/>
        </w:numPr>
        <w:tabs>
          <w:tab w:leader="none" w:pos="426" w:val="left"/>
        </w:tabs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>РЕСУРСНОЕ ОБЕСПЕЧЕНИЕ ДИСЦИПЛИНЫ</w:t>
      </w:r>
    </w:p>
    <w:p w14:paraId="98000000">
      <w:pPr>
        <w:rPr>
          <w:b w:val="1"/>
          <w:sz w:val="24"/>
        </w:rPr>
      </w:pPr>
    </w:p>
    <w:p w14:paraId="99000000">
      <w:pPr>
        <w:keepNext w:val="1"/>
        <w:widowControl w:val="1"/>
        <w:numPr>
          <w:ilvl w:val="1"/>
          <w:numId w:val="1"/>
        </w:numPr>
        <w:ind w:firstLine="709" w:left="0"/>
        <w:jc w:val="both"/>
        <w:outlineLvl w:val="2"/>
        <w:rPr>
          <w:b w:val="1"/>
          <w:sz w:val="24"/>
        </w:rPr>
      </w:pPr>
      <w:r>
        <w:rPr>
          <w:b w:val="1"/>
          <w:sz w:val="24"/>
        </w:rPr>
        <w:t>Учебно-методическое и информационное обеспечение дисциплины</w:t>
      </w:r>
    </w:p>
    <w:p w14:paraId="9A000000">
      <w:pPr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>.1.1 – Учебно-методическое обеспечение дисциплины</w:t>
      </w:r>
    </w:p>
    <w:tbl>
      <w:tblPr>
        <w:tblStyle w:val="Style_7"/>
        <w:tblInd w:type="dxa" w:w="289"/>
        <w:tblBorders>
          <w:top w:color="000000" w:sz="12" w:val="single"/>
          <w:left w:color="000000" w:sz="12" w:val="single"/>
          <w:bottom w:color="000000" w:sz="12" w:val="single"/>
          <w:right w:color="000000" w:sz="12" w:val="single"/>
          <w:insideH w:color="000000" w:sz="12" w:val="single"/>
          <w:insideV w:color="000000" w:sz="12" w:val="single"/>
        </w:tblBorders>
        <w:tblLayout w:type="fixed"/>
      </w:tblPr>
      <w:tblGrid>
        <w:gridCol w:w="6237"/>
        <w:gridCol w:w="1843"/>
        <w:gridCol w:w="1417"/>
      </w:tblGrid>
      <w:tr>
        <w:trPr>
          <w:trHeight w:hRule="atLeast" w:val="753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spacing w:line="249" w:lineRule="exact"/>
              <w:ind w:right="163"/>
              <w:jc w:val="center"/>
              <w:rPr>
                <w:sz w:val="24"/>
              </w:rPr>
            </w:pPr>
            <w:bookmarkStart w:id="1" w:name="_Hlk32421294"/>
            <w:r>
              <w:rPr>
                <w:sz w:val="24"/>
              </w:rPr>
              <w:t xml:space="preserve">Библиографическое описание издания </w:t>
            </w:r>
          </w:p>
          <w:p w14:paraId="9C000000">
            <w:pPr>
              <w:spacing w:line="249" w:lineRule="exact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(автор, заглавие, вид, место и год издания, кол. стр.)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00000">
            <w:pPr>
              <w:ind w:hanging="188" w:left="280" w:right="52"/>
              <w:jc w:val="center"/>
            </w:pPr>
            <w:r>
              <w:t>основная</w:t>
            </w:r>
            <w:r>
              <w:t>/</w:t>
            </w:r>
          </w:p>
          <w:p w14:paraId="9E000000">
            <w:pPr>
              <w:ind w:hanging="188" w:left="280" w:right="52"/>
              <w:jc w:val="center"/>
              <w:rPr>
                <w:i w:val="1"/>
                <w:sz w:val="24"/>
              </w:rPr>
            </w:pPr>
            <w:r>
              <w:t>дополнительная</w:t>
            </w:r>
            <w:r>
              <w:t xml:space="preserve"> </w:t>
            </w:r>
            <w:r>
              <w:t>литература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spacing w:before="127" w:line="240" w:lineRule="auto"/>
              <w:ind w:firstLine="0" w:left="-12" w:right="41"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>
        <w:trPr>
          <w:trHeight w:hRule="atLeast" w:val="13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t>Актуальные задачи энергетического права: монография / под ред. д-ра юрид. наук, проф. В.В. Романовой. – Москва: ООО «Интеграция: Образование и Наука», 2022. – 254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3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  <w:tr>
        <w:trPr>
          <w:trHeight w:hRule="atLeast" w:val="118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t>Романова В.В. Энергетическое право. Общая часть. Практикум. – Москва: Издательская группа «Юрист», 2021. – 64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7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  <w:tr>
        <w:trPr>
          <w:trHeight w:hRule="atLeast" w:val="428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widowControl w:val="0"/>
              <w:spacing w:after="0" w:line="240" w:lineRule="auto"/>
              <w:ind w:firstLine="0" w:left="57" w:right="57"/>
              <w:jc w:val="both"/>
              <w:rPr>
                <w:sz w:val="24"/>
              </w:rPr>
            </w:pPr>
            <w:r>
              <w:t xml:space="preserve">Романова В.В. Энергетическое право. Общая </w:t>
            </w:r>
            <w:r>
              <w:t>часть :</w:t>
            </w:r>
            <w:r>
              <w:t xml:space="preserve"> учебно-методическое пособие. – Москва: Издательская группа «Юрист», 2021. – 88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AB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428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widowControl w:val="0"/>
              <w:spacing w:after="0" w:line="240" w:lineRule="auto"/>
              <w:ind w:firstLine="0" w:left="57" w:right="57"/>
              <w:rPr>
                <w:sz w:val="24"/>
              </w:rPr>
            </w:pPr>
            <w:r>
              <w:rPr>
                <w:sz w:val="24"/>
              </w:rPr>
              <w:t xml:space="preserve">Романова, В. В. Энергетическое право: учебник для подготовки кадров высшей квалификации / В. В. Романова. — </w:t>
            </w:r>
            <w:r>
              <w:rPr>
                <w:sz w:val="24"/>
              </w:rPr>
              <w:t>Москва 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Издательская группа «</w:t>
            </w:r>
            <w:r>
              <w:rPr>
                <w:sz w:val="24"/>
              </w:rPr>
              <w:t>Юрист</w:t>
            </w:r>
            <w:r>
              <w:rPr>
                <w:sz w:val="24"/>
              </w:rPr>
              <w:t>»</w:t>
            </w:r>
            <w:r>
              <w:rPr>
                <w:sz w:val="24"/>
              </w:rPr>
              <w:t xml:space="preserve">, 2021. </w:t>
            </w:r>
            <w:r>
              <w:rPr>
                <w:sz w:val="24"/>
              </w:rPr>
              <w:t>288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ЭБС </w:t>
            </w:r>
          </w:p>
          <w:p w14:paraId="AF000000">
            <w:pPr>
              <w:ind w:firstLine="0" w:left="-57" w:right="-57"/>
              <w:jc w:val="center"/>
              <w:rPr>
                <w:sz w:val="24"/>
              </w:rPr>
            </w:pPr>
            <w:r>
              <w:rPr>
                <w:sz w:val="25"/>
              </w:rPr>
              <w:t>IPR-books</w:t>
            </w:r>
          </w:p>
        </w:tc>
      </w:tr>
      <w:tr>
        <w:trPr>
          <w:trHeight w:hRule="atLeast" w:val="812"/>
        </w:trPr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widowControl w:val="0"/>
              <w:spacing w:after="0" w:line="240" w:lineRule="auto"/>
              <w:ind w:firstLine="0" w:left="57" w:right="57"/>
              <w:rPr>
                <w:sz w:val="24"/>
              </w:rPr>
            </w:pPr>
            <w:r>
              <w:t>Проблемы и задачи правового обеспечения энергетической безопасности и защиты прав участников энергетических рынков: монография / под редакцией доктора юридических наук В.В. Романовой. – Москва: Издательская группа «Юрист», 2019. – 264 с.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before="1"/>
              <w:ind w:firstLine="0" w:left="25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 w:firstLine="0" w:left="-57" w:right="-5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ЭБС </w:t>
            </w:r>
          </w:p>
          <w:p w14:paraId="B3000000">
            <w:pPr>
              <w:tabs>
                <w:tab w:leader="none" w:pos="708" w:val="left"/>
              </w:tabs>
              <w:ind/>
              <w:jc w:val="center"/>
              <w:rPr>
                <w:sz w:val="24"/>
              </w:rPr>
            </w:pPr>
            <w:r>
              <w:rPr>
                <w:sz w:val="25"/>
              </w:rPr>
              <w:t>IPR</w:t>
            </w:r>
            <w:r>
              <w:rPr>
                <w:sz w:val="25"/>
              </w:rPr>
              <w:t>-</w:t>
            </w:r>
            <w:r>
              <w:rPr>
                <w:sz w:val="25"/>
              </w:rPr>
              <w:t>books</w:t>
            </w:r>
          </w:p>
        </w:tc>
      </w:tr>
    </w:tbl>
    <w:p w14:paraId="B4000000">
      <w:pPr>
        <w:spacing w:before="6"/>
        <w:ind/>
        <w:rPr>
          <w:sz w:val="24"/>
        </w:rPr>
      </w:pPr>
      <w:bookmarkStart w:id="2" w:name="_Hlk23340624"/>
      <w:bookmarkEnd w:id="2"/>
      <w:bookmarkEnd w:id="1"/>
    </w:p>
    <w:p w14:paraId="B5000000">
      <w:pPr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>.1.2 – Перечень современных профессиональных баз данных (СПБД)</w:t>
      </w:r>
    </w:p>
    <w:p w14:paraId="B6000000">
      <w:pPr>
        <w:ind/>
        <w:jc w:val="both"/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9263"/>
      </w:tblGrid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СПБД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библиотека </w:t>
            </w:r>
            <w:r>
              <w:rPr>
                <w:sz w:val="24"/>
              </w:rPr>
              <w:t>Grebennikon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color w:val="0D0D0D"/>
                <w:sz w:val="24"/>
                <w:highlight w:val="white"/>
              </w:rPr>
              <w:t>grebennikon.ru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color w:val="0D0D0D"/>
                <w:sz w:val="24"/>
              </w:rPr>
              <w:t xml:space="preserve">учная электронная библиотека </w:t>
            </w:r>
            <w:r>
              <w:rPr>
                <w:color w:val="0D0D0D"/>
                <w:sz w:val="24"/>
              </w:rPr>
              <w:t>eLIBRARRY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color w:val="0D0D0D"/>
                <w:sz w:val="24"/>
              </w:rPr>
              <w:t>www</w:t>
            </w:r>
            <w:r>
              <w:rPr>
                <w:color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elibrary.ru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Научная электронная библиотека </w:t>
            </w:r>
            <w:r>
              <w:rPr>
                <w:sz w:val="24"/>
              </w:rPr>
              <w:t>КиберЛени</w:t>
            </w:r>
            <w:r>
              <w:rPr>
                <w:color w:val="0D0D0D"/>
                <w:sz w:val="24"/>
              </w:rPr>
              <w:t>ка</w:t>
            </w:r>
            <w:r>
              <w:rPr>
                <w:color w:val="0D0D0D"/>
                <w:sz w:val="24"/>
              </w:rPr>
              <w:t xml:space="preserve"> – </w:t>
            </w:r>
            <w:r>
              <w:rPr>
                <w:sz w:val="24"/>
              </w:rPr>
              <w:t>www</w:t>
            </w:r>
            <w:r>
              <w:rPr>
                <w:sz w:val="24"/>
              </w:rPr>
              <w:t>.</w:t>
            </w:r>
            <w:r>
              <w:rPr>
                <w:sz w:val="24"/>
                <w:highlight w:val="white"/>
              </w:rPr>
              <w:t>cyberleninka.ru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База данных ПОЛПРЕД Справочники – </w:t>
            </w:r>
            <w:r>
              <w:rPr>
                <w:color w:val="0D0D0D"/>
                <w:sz w:val="24"/>
              </w:rPr>
              <w:t>www</w:t>
            </w:r>
            <w:r>
              <w:rPr>
                <w:color w:val="0D0D0D"/>
                <w:sz w:val="24"/>
              </w:rPr>
              <w:t>.</w:t>
            </w:r>
            <w:r>
              <w:rPr>
                <w:sz w:val="24"/>
                <w:highlight w:val="white"/>
              </w:rPr>
              <w:t>polpred.com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sz w:val="24"/>
              </w:rPr>
              <w:t>Scopus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https://www.scopus.com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4"/>
                <w:highlight w:val="white"/>
              </w:rPr>
              <w:t xml:space="preserve">Web </w:t>
            </w:r>
            <w:r>
              <w:rPr>
                <w:color w:val="0D0D0D"/>
                <w:sz w:val="24"/>
                <w:highlight w:val="white"/>
              </w:rPr>
              <w:t>of</w:t>
            </w:r>
            <w:r>
              <w:rPr>
                <w:color w:val="0D0D0D"/>
                <w:sz w:val="24"/>
                <w:highlight w:val="white"/>
              </w:rPr>
              <w:t xml:space="preserve"> Science – </w: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begin"/>
            </w:r>
            <w:r>
              <w:rPr>
                <w:color w:val="0D0D0D"/>
                <w:sz w:val="24"/>
                <w:highlight w:val="white"/>
                <w:u w:val="single"/>
              </w:rPr>
              <w:instrText>HYPERLINK "http://webofscience.com/"</w:instrTex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separate"/>
            </w:r>
            <w:r>
              <w:rPr>
                <w:color w:val="0D0D0D"/>
                <w:sz w:val="24"/>
                <w:highlight w:val="white"/>
                <w:u w:val="single"/>
              </w:rPr>
              <w:t>http://webofscience.com</w:t>
            </w:r>
            <w:r>
              <w:rPr>
                <w:color w:val="0D0D0D"/>
                <w:sz w:val="24"/>
                <w:highlight w:val="white"/>
                <w:u w:val="single"/>
              </w:rPr>
              <w:fldChar w:fldCharType="end"/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z w:val="24"/>
              </w:rPr>
              <w:t xml:space="preserve"> OECD Books, Papers &amp; Statistics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 xml:space="preserve"> OECD </w:t>
            </w:r>
            <w:r>
              <w:rPr>
                <w:sz w:val="24"/>
              </w:rPr>
              <w:t>iLibrary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  <w:highlight w:val="white"/>
              </w:rPr>
              <w:t>www.oecd-ilibrary.org</w:t>
            </w:r>
          </w:p>
        </w:tc>
      </w:tr>
    </w:tbl>
    <w:p w14:paraId="C7000000">
      <w:pPr>
        <w:rPr>
          <w:sz w:val="24"/>
        </w:rPr>
      </w:pPr>
    </w:p>
    <w:p w14:paraId="C8000000">
      <w:pPr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 xml:space="preserve">.1.3 – Перечень информационных справочных систем (ИСС) </w:t>
      </w:r>
    </w:p>
    <w:p w14:paraId="C9000000">
      <w:pPr>
        <w:rPr>
          <w:sz w:val="24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9251"/>
      </w:tblGrid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sz w:val="24"/>
              </w:rPr>
            </w:pPr>
            <w:bookmarkStart w:id="3" w:name="_Hlk64378507"/>
            <w:r>
              <w:rPr>
                <w:sz w:val="24"/>
              </w:rPr>
              <w:t>№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00000">
            <w:pPr>
              <w:ind/>
              <w:jc w:val="center"/>
              <w:rPr>
                <w:color w:val="0D0D0D"/>
                <w:sz w:val="24"/>
              </w:rPr>
            </w:pPr>
            <w:r>
              <w:rPr>
                <w:sz w:val="24"/>
              </w:rPr>
              <w:t xml:space="preserve">Наименование ИСС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00000">
            <w:pPr>
              <w:ind/>
              <w:jc w:val="both"/>
              <w:rPr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КонсультантПлюс (инсталлированный ресурс АНО НИЦ или </w:t>
            </w:r>
            <w:r>
              <w:rPr>
                <w:sz w:val="24"/>
              </w:rPr>
              <w:t>www.consultant.ru</w:t>
            </w:r>
            <w:r>
              <w:rPr>
                <w:color w:val="0D0D0D"/>
                <w:sz w:val="24"/>
              </w:rPr>
              <w:t>)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0000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Справочная правовая система «ГАРАНТ»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"http://www.garant.ru"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http://www.garant.ru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ind/>
              <w:jc w:val="both"/>
              <w:rPr>
                <w:color w:val="0D0D0D"/>
                <w:sz w:val="24"/>
              </w:rPr>
            </w:pPr>
            <w:r>
              <w:rPr>
                <w:sz w:val="24"/>
              </w:rPr>
              <w:t>Информационно-справочная система «Ко</w:t>
            </w:r>
            <w:r>
              <w:rPr>
                <w:color w:val="0D0D0D"/>
                <w:sz w:val="24"/>
              </w:rPr>
              <w:t xml:space="preserve">декс»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"http://www.kodeks.ru"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.kodeks.ru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</w:t>
            </w:r>
            <w:r>
              <w:rPr>
                <w:sz w:val="24"/>
              </w:rPr>
              <w:t>IPR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books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 xml:space="preserve">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"http://www.iprbookshop.ru/"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http://www.iprbookshop.ru/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BOOK.ru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"http://www.book.ru"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http://www.book.ru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sz w:val="24"/>
              </w:rPr>
            </w:pPr>
            <w:r>
              <w:rPr>
                <w:sz w:val="24"/>
              </w:rPr>
              <w:t xml:space="preserve">Электронная библиотечная система ЭБС ЮРАЙТ –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"http://www.urait.ru"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.urait.ru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60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rPr>
                <w:sz w:val="24"/>
              </w:rPr>
            </w:pPr>
            <w:r>
              <w:rPr>
                <w:sz w:val="24"/>
              </w:rPr>
              <w:t>Электронная библиотечная система ЗНАНИУМ (</w:t>
            </w:r>
            <w:r>
              <w:rPr>
                <w:sz w:val="24"/>
              </w:rPr>
              <w:t>ZNANIUM</w:t>
            </w:r>
            <w:r>
              <w:rPr>
                <w:sz w:val="24"/>
              </w:rPr>
              <w:t xml:space="preserve">) - </w:t>
            </w:r>
            <w:r>
              <w:rPr>
                <w:color w:val="0000FF"/>
                <w:sz w:val="24"/>
                <w:u w:val="single"/>
              </w:rPr>
              <w:fldChar w:fldCharType="begin"/>
            </w:r>
            <w:r>
              <w:rPr>
                <w:color w:val="0000FF"/>
                <w:sz w:val="24"/>
                <w:u w:val="single"/>
              </w:rPr>
              <w:instrText>HYPERLINK "http://www.znanium.com"</w:instrText>
            </w:r>
            <w:r>
              <w:rPr>
                <w:color w:val="0000FF"/>
                <w:sz w:val="24"/>
                <w:u w:val="single"/>
              </w:rPr>
              <w:fldChar w:fldCharType="separate"/>
            </w:r>
            <w:r>
              <w:rPr>
                <w:color w:val="0000FF"/>
                <w:sz w:val="24"/>
                <w:u w:val="single"/>
              </w:rPr>
              <w:t>http://</w:t>
            </w:r>
            <w:r>
              <w:rPr>
                <w:color w:val="0000FF"/>
                <w:sz w:val="24"/>
                <w:u w:val="single"/>
              </w:rPr>
              <w:t>www</w:t>
            </w:r>
            <w:r>
              <w:rPr>
                <w:color w:val="0000FF"/>
                <w:sz w:val="24"/>
                <w:u w:val="single"/>
              </w:rPr>
              <w:t>.znanium.com</w:t>
            </w:r>
            <w:r>
              <w:rPr>
                <w:color w:val="0000FF"/>
                <w:sz w:val="24"/>
                <w:u w:val="single"/>
              </w:rPr>
              <w:fldChar w:fldCharType="end"/>
            </w:r>
            <w:r>
              <w:rPr>
                <w:sz w:val="24"/>
              </w:rPr>
              <w:t xml:space="preserve"> </w:t>
            </w:r>
            <w:bookmarkEnd w:id="3"/>
          </w:p>
        </w:tc>
      </w:tr>
    </w:tbl>
    <w:p w14:paraId="DA000000">
      <w:pPr>
        <w:ind/>
        <w:jc w:val="both"/>
        <w:rPr>
          <w:sz w:val="24"/>
        </w:rPr>
      </w:pPr>
    </w:p>
    <w:p w14:paraId="DB000000">
      <w:pPr>
        <w:pStyle w:val="Style_5"/>
        <w:keepNext w:val="1"/>
        <w:widowControl w:val="1"/>
        <w:numPr>
          <w:ilvl w:val="1"/>
          <w:numId w:val="2"/>
        </w:numPr>
        <w:ind/>
        <w:jc w:val="both"/>
        <w:outlineLvl w:val="2"/>
        <w:rPr>
          <w:b w:val="1"/>
          <w:sz w:val="24"/>
        </w:rPr>
      </w:pPr>
      <w:r>
        <w:rPr>
          <w:b w:val="1"/>
          <w:sz w:val="24"/>
        </w:rPr>
        <w:t xml:space="preserve"> Материально-техническое обеспечение учебного процесса</w:t>
      </w:r>
    </w:p>
    <w:p w14:paraId="DC000000">
      <w:pPr>
        <w:rPr>
          <w:sz w:val="28"/>
        </w:rPr>
      </w:pPr>
    </w:p>
    <w:p w14:paraId="DD000000">
      <w:pPr>
        <w:widowControl w:val="1"/>
        <w:ind/>
        <w:jc w:val="both"/>
        <w:rPr>
          <w:sz w:val="24"/>
        </w:rPr>
      </w:pPr>
      <w:r>
        <w:rPr>
          <w:sz w:val="24"/>
        </w:rPr>
        <w:t>Таблица 5</w:t>
      </w:r>
      <w:r>
        <w:rPr>
          <w:sz w:val="24"/>
        </w:rPr>
        <w:t xml:space="preserve">.2.1 – Перечень программного обеспечения (ПО)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9465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№ п/п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ПО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z w:val="24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</w:t>
            </w:r>
            <w:r>
              <w:rPr>
                <w:sz w:val="20"/>
              </w:rPr>
              <w:t xml:space="preserve">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4"/>
              </w:rPr>
            </w:pPr>
            <w:r>
              <w:rPr>
                <w:sz w:val="24"/>
              </w:rPr>
              <w:t xml:space="preserve">Microsoft Windows Professional </w:t>
            </w:r>
            <w:r>
              <w:rPr>
                <w:sz w:val="20"/>
              </w:rPr>
              <w:t>от</w:t>
            </w:r>
            <w:r>
              <w:rPr>
                <w:sz w:val="20"/>
              </w:rPr>
              <w:t xml:space="preserve"> 04 </w:t>
            </w:r>
            <w:r>
              <w:rPr>
                <w:sz w:val="20"/>
              </w:rPr>
              <w:t>марта</w:t>
            </w:r>
            <w:r>
              <w:rPr>
                <w:sz w:val="20"/>
              </w:rPr>
              <w:t xml:space="preserve"> 2021 </w:t>
            </w:r>
            <w:r>
              <w:rPr>
                <w:sz w:val="20"/>
              </w:rPr>
              <w:t>г</w:t>
            </w:r>
            <w:r>
              <w:rPr>
                <w:sz w:val="20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rPr>
                <w:sz w:val="24"/>
              </w:rPr>
            </w:pPr>
            <w:r>
              <w:rPr>
                <w:sz w:val="24"/>
              </w:rPr>
              <w:t>Webinar.ru</w:t>
            </w:r>
          </w:p>
        </w:tc>
      </w:tr>
      <w:tr>
        <w:trPr>
          <w:trHeight w:hRule="atLeast" w:val="134"/>
        </w:trP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rPr>
                <w:sz w:val="24"/>
              </w:rPr>
            </w:pPr>
            <w:r>
              <w:rPr>
                <w:sz w:val="24"/>
              </w:rPr>
              <w:t>7-Zip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WinRar</w:t>
            </w:r>
            <w:r>
              <w:rPr>
                <w:sz w:val="24"/>
              </w:rPr>
              <w:t xml:space="preserve"> (freeware)</w:t>
            </w:r>
          </w:p>
        </w:tc>
      </w:tr>
    </w:tbl>
    <w:p w14:paraId="E8000000">
      <w:pPr>
        <w:rPr>
          <w:sz w:val="24"/>
        </w:rPr>
      </w:pPr>
    </w:p>
    <w:p w14:paraId="E9000000">
      <w:pPr>
        <w:pStyle w:val="Style_5"/>
        <w:keepNext w:val="1"/>
        <w:widowControl w:val="1"/>
        <w:numPr>
          <w:ilvl w:val="0"/>
          <w:numId w:val="1"/>
        </w:numPr>
        <w:tabs>
          <w:tab w:leader="none" w:pos="426" w:val="left"/>
        </w:tabs>
        <w:ind/>
        <w:jc w:val="center"/>
        <w:outlineLvl w:val="2"/>
        <w:rPr>
          <w:b w:val="1"/>
          <w:sz w:val="24"/>
        </w:rPr>
      </w:pPr>
      <w:r>
        <w:rPr>
          <w:b w:val="1"/>
          <w:sz w:val="24"/>
        </w:rPr>
        <w:t xml:space="preserve">ОСОБЕННОСТИ </w:t>
      </w:r>
      <w:r>
        <w:rPr>
          <w:b w:val="1"/>
          <w:sz w:val="24"/>
        </w:rPr>
        <w:t xml:space="preserve">ПРОХОЖДЕНИЯ </w:t>
      </w:r>
      <w:r>
        <w:rPr>
          <w:b w:val="1"/>
          <w:sz w:val="24"/>
        </w:rPr>
        <w:t>ИТОГОВОЙ АТТЕСТАЦИИ</w:t>
      </w:r>
      <w:r>
        <w:rPr>
          <w:b w:val="1"/>
          <w:sz w:val="24"/>
        </w:rPr>
        <w:t xml:space="preserve"> ДЛЯ ИНВАЛИДОВ И ЛИЦ С ОГРАНИЧЕННЫМИ ВОЗМОЖНОСТЯМИ ЗДОРОВЬЯ</w:t>
      </w:r>
    </w:p>
    <w:p w14:paraId="EA000000">
      <w:pPr>
        <w:widowControl w:val="1"/>
        <w:ind/>
        <w:jc w:val="both"/>
        <w:rPr>
          <w:sz w:val="24"/>
        </w:rPr>
      </w:pPr>
    </w:p>
    <w:p w14:paraId="EB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 xml:space="preserve"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 </w:t>
      </w:r>
    </w:p>
    <w:p w14:paraId="EC000000">
      <w:pPr>
        <w:widowControl w:val="1"/>
        <w:ind w:firstLine="720" w:left="0"/>
        <w:jc w:val="both"/>
        <w:rPr>
          <w:sz w:val="24"/>
        </w:rPr>
      </w:pPr>
      <w:bookmarkStart w:id="4" w:name="_Hlk64378772"/>
      <w:r>
        <w:rPr>
          <w:sz w:val="24"/>
        </w:rPr>
        <w:t xml:space="preserve">В целях </w:t>
      </w:r>
      <w:r>
        <w:rPr>
          <w:sz w:val="24"/>
        </w:rPr>
        <w:t>прохождения итоговой аттестации</w:t>
      </w:r>
      <w:r>
        <w:rPr>
          <w:sz w:val="24"/>
        </w:rPr>
        <w:t xml:space="preserve"> инвалидами и лицами с огранич</w:t>
      </w:r>
      <w:r>
        <w:rPr>
          <w:sz w:val="24"/>
        </w:rPr>
        <w:t xml:space="preserve">енными возможностями здоровья </w:t>
      </w:r>
      <w:r>
        <w:rPr>
          <w:sz w:val="24"/>
        </w:rPr>
        <w:t xml:space="preserve">Центр обеспечивает: </w:t>
      </w:r>
      <w:bookmarkEnd w:id="4"/>
    </w:p>
    <w:p w14:paraId="ED000000">
      <w:pPr>
        <w:widowControl w:val="1"/>
        <w:numPr>
          <w:ilvl w:val="0"/>
          <w:numId w:val="3"/>
        </w:numPr>
        <w:tabs>
          <w:tab w:leader="none" w:pos="993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 </w:t>
      </w:r>
    </w:p>
    <w:p w14:paraId="EE000000">
      <w:pPr>
        <w:widowControl w:val="1"/>
        <w:numPr>
          <w:ilvl w:val="0"/>
          <w:numId w:val="3"/>
        </w:numPr>
        <w:tabs>
          <w:tab w:leader="none" w:pos="993" w:val="left"/>
        </w:tabs>
        <w:ind w:firstLine="720" w:left="0"/>
        <w:jc w:val="both"/>
        <w:rPr>
          <w:sz w:val="24"/>
        </w:rPr>
      </w:pPr>
      <w:r>
        <w:rPr>
          <w:sz w:val="24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информации; </w:t>
      </w:r>
      <w:r>
        <w:rPr>
          <w:sz w:val="24"/>
        </w:rPr>
        <w:t xml:space="preserve">услугами сурдопереводчиков и </w:t>
      </w:r>
      <w:r>
        <w:rPr>
          <w:sz w:val="24"/>
        </w:rPr>
        <w:t>тифлосурдопереводчиков</w:t>
      </w:r>
    </w:p>
    <w:p w14:paraId="EF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ab/>
      </w:r>
      <w:r>
        <w:rPr>
          <w:sz w:val="24"/>
        </w:rPr>
        <w:t>для инвалидов и лиц с ограниченными возможностями здоровья, имеющих нарушения опорно-двигательного аппарата: возможность обучения в дистанционном формате</w:t>
      </w:r>
      <w:r>
        <w:rPr>
          <w:sz w:val="24"/>
        </w:rPr>
        <w:t>.</w:t>
      </w:r>
    </w:p>
    <w:p w14:paraId="F0000000">
      <w:pPr>
        <w:widowControl w:val="1"/>
        <w:ind w:firstLine="720" w:left="0"/>
        <w:jc w:val="both"/>
        <w:rPr>
          <w:sz w:val="24"/>
        </w:rPr>
      </w:pPr>
      <w:r>
        <w:rPr>
          <w:sz w:val="24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группах. </w:t>
      </w:r>
    </w:p>
    <w:sectPr>
      <w:footerReference r:id="rId2" w:type="first"/>
      <w:footerReference r:id="rId1" w:type="default"/>
      <w:pgSz w:h="16838" w:orient="portrait" w:w="11906"/>
      <w:pgMar w:bottom="1134" w:footer="709" w:gutter="0" w:header="709" w:left="1134" w:right="849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2"/>
      <w:spacing w:line="12" w:lineRule="auto"/>
      <w:ind w:firstLine="0" w:left="0"/>
      <w:rPr>
        <w:sz w:val="20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right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212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2139"/>
      </w:pPr>
      <w:rPr>
        <w:b w:val="1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5"/>
      <w:numFmt w:val="decimal"/>
      <w:lvlText w:val="%1"/>
      <w:lvlJc w:val="left"/>
      <w:pPr>
        <w:ind w:hanging="360" w:left="360"/>
      </w:pPr>
    </w:lvl>
    <w:lvl w:ilvl="1">
      <w:start w:val="2"/>
      <w:numFmt w:val="decimal"/>
      <w:lvlText w:val="%1.%2"/>
      <w:lvlJc w:val="left"/>
      <w:pPr>
        <w:ind w:hanging="360" w:left="1429"/>
      </w:pPr>
    </w:lvl>
    <w:lvl w:ilvl="2">
      <w:start w:val="1"/>
      <w:numFmt w:val="decimal"/>
      <w:lvlText w:val="%1.%2.%3"/>
      <w:lvlJc w:val="left"/>
      <w:pPr>
        <w:ind w:hanging="720" w:left="2858"/>
      </w:pPr>
    </w:lvl>
    <w:lvl w:ilvl="3">
      <w:start w:val="1"/>
      <w:numFmt w:val="decimal"/>
      <w:lvlText w:val="%1.%2.%3.%4"/>
      <w:lvlJc w:val="left"/>
      <w:pPr>
        <w:ind w:hanging="720" w:left="3927"/>
      </w:pPr>
    </w:lvl>
    <w:lvl w:ilvl="4">
      <w:start w:val="1"/>
      <w:numFmt w:val="decimal"/>
      <w:lvlText w:val="%1.%2.%3.%4.%5"/>
      <w:lvlJc w:val="left"/>
      <w:pPr>
        <w:ind w:hanging="1080" w:left="5356"/>
      </w:pPr>
    </w:lvl>
    <w:lvl w:ilvl="5">
      <w:start w:val="1"/>
      <w:numFmt w:val="decimal"/>
      <w:lvlText w:val="%1.%2.%3.%4.%5.%6"/>
      <w:lvlJc w:val="left"/>
      <w:pPr>
        <w:ind w:hanging="1080" w:left="6425"/>
      </w:pPr>
    </w:lvl>
    <w:lvl w:ilvl="6">
      <w:start w:val="1"/>
      <w:numFmt w:val="decimal"/>
      <w:lvlText w:val="%1.%2.%3.%4.%5.%6.%7"/>
      <w:lvlJc w:val="left"/>
      <w:pPr>
        <w:ind w:hanging="1440" w:left="7854"/>
      </w:pPr>
    </w:lvl>
    <w:lvl w:ilvl="7">
      <w:start w:val="1"/>
      <w:numFmt w:val="decimal"/>
      <w:lvlText w:val="%1.%2.%3.%4.%5.%6.%7.%8"/>
      <w:lvlJc w:val="left"/>
      <w:pPr>
        <w:ind w:hanging="1440" w:left="8923"/>
      </w:pPr>
    </w:lvl>
    <w:lvl w:ilvl="8">
      <w:start w:val="1"/>
      <w:numFmt w:val="decimal"/>
      <w:lvlText w:val="%1.%2.%3.%4.%5.%6.%7.%8.%9"/>
      <w:lvlJc w:val="left"/>
      <w:pPr>
        <w:ind w:hanging="1800" w:left="10352"/>
      </w:pPr>
    </w:lvl>
  </w:abstractNum>
  <w:abstractNum w:abstractNumId="2">
    <w:lvl w:ilvl="0">
      <w:numFmt w:val="bullet"/>
      <w:lvlText w:val="–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0"/>
      <w:spacing w:after="0" w:line="240" w:lineRule="auto"/>
      <w:ind/>
    </w:pPr>
    <w:rPr>
      <w:rFonts w:ascii="Times New Roman" w:hAnsi="Times New Roman"/>
    </w:rPr>
  </w:style>
  <w:style w:default="1" w:styleId="Style_8_ch" w:type="character">
    <w:name w:val="Normal"/>
    <w:link w:val="Style_8"/>
    <w:rPr>
      <w:rFonts w:ascii="Times New Roman" w:hAnsi="Times New Roman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8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8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alloon Text"/>
    <w:basedOn w:val="Style_8"/>
    <w:link w:val="Style_13_ch"/>
    <w:rPr>
      <w:rFonts w:ascii="Tahoma" w:hAnsi="Tahoma"/>
      <w:sz w:val="16"/>
    </w:rPr>
  </w:style>
  <w:style w:styleId="Style_13_ch" w:type="character">
    <w:name w:val="Balloon Text"/>
    <w:basedOn w:val="Style_8_ch"/>
    <w:link w:val="Style_13"/>
    <w:rPr>
      <w:rFonts w:ascii="Tahoma" w:hAnsi="Tahoma"/>
      <w:sz w:val="16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basedOn w:val="Style_8"/>
    <w:next w:val="Style_8"/>
    <w:link w:val="Style_15_ch"/>
    <w:uiPriority w:val="9"/>
    <w:qFormat/>
    <w:pPr>
      <w:keepNext w:val="1"/>
      <w:keepLines w:val="1"/>
      <w:spacing w:before="40"/>
      <w:ind/>
      <w:outlineLvl w:val="2"/>
    </w:pPr>
    <w:rPr>
      <w:rFonts w:asciiTheme="majorAscii" w:hAnsiTheme="majorHAnsi"/>
      <w:color w:themeColor="accent1" w:themeShade="7F" w:val="1F4E79"/>
      <w:sz w:val="24"/>
    </w:rPr>
  </w:style>
  <w:style w:styleId="Style_15_ch" w:type="character">
    <w:name w:val="heading 3"/>
    <w:basedOn w:val="Style_8_ch"/>
    <w:link w:val="Style_15"/>
    <w:rPr>
      <w:rFonts w:asciiTheme="majorAscii" w:hAnsiTheme="majorHAnsi"/>
      <w:color w:themeColor="accent1" w:themeShade="7F" w:val="1F4E79"/>
      <w:sz w:val="24"/>
    </w:rPr>
  </w:style>
  <w:style w:styleId="Style_16" w:type="paragraph">
    <w:name w:val="TOC Heading"/>
    <w:basedOn w:val="Style_4"/>
    <w:next w:val="Style_8"/>
    <w:link w:val="Style_16_ch"/>
    <w:pPr>
      <w:keepNext w:val="1"/>
      <w:keepLines w:val="1"/>
      <w:widowControl w:val="1"/>
      <w:spacing w:before="240" w:line="264" w:lineRule="auto"/>
      <w:ind w:firstLine="0" w:left="0"/>
      <w:outlineLvl w:val="8"/>
    </w:pPr>
    <w:rPr>
      <w:rFonts w:asciiTheme="majorAscii" w:hAnsiTheme="majorHAnsi"/>
      <w:b w:val="0"/>
      <w:color w:themeColor="accent1" w:themeShade="BF" w:val="2E75B5"/>
      <w:sz w:val="32"/>
    </w:rPr>
  </w:style>
  <w:style w:styleId="Style_16_ch" w:type="character">
    <w:name w:val="TOC Heading"/>
    <w:basedOn w:val="Style_4_ch"/>
    <w:link w:val="Style_16"/>
    <w:rPr>
      <w:rFonts w:asciiTheme="majorAscii" w:hAnsiTheme="majorHAnsi"/>
      <w:b w:val="0"/>
      <w:color w:themeColor="accent1" w:themeShade="BF" w:val="2E75B5"/>
      <w:sz w:val="32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annotation reference"/>
    <w:basedOn w:val="Style_19"/>
    <w:link w:val="Style_18_ch"/>
    <w:rPr>
      <w:sz w:val="16"/>
    </w:rPr>
  </w:style>
  <w:style w:styleId="Style_18_ch" w:type="character">
    <w:name w:val="annotation reference"/>
    <w:basedOn w:val="Style_19_ch"/>
    <w:link w:val="Style_18"/>
    <w:rPr>
      <w:sz w:val="16"/>
    </w:rPr>
  </w:style>
  <w:style w:styleId="Style_20" w:type="paragraph">
    <w:name w:val="blk"/>
    <w:basedOn w:val="Style_19"/>
    <w:link w:val="Style_20_ch"/>
  </w:style>
  <w:style w:styleId="Style_20_ch" w:type="character">
    <w:name w:val="blk"/>
    <w:basedOn w:val="Style_19_ch"/>
    <w:link w:val="Style_20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8_ch"/>
    <w:link w:val="Style_1"/>
  </w:style>
  <w:style w:styleId="Style_4" w:type="paragraph">
    <w:name w:val="heading 1"/>
    <w:basedOn w:val="Style_8"/>
    <w:link w:val="Style_4_ch"/>
    <w:uiPriority w:val="9"/>
    <w:qFormat/>
    <w:pPr>
      <w:spacing w:before="72"/>
      <w:ind w:firstLine="0" w:left="846"/>
      <w:outlineLvl w:val="0"/>
    </w:pPr>
    <w:rPr>
      <w:b w:val="1"/>
      <w:sz w:val="28"/>
    </w:rPr>
  </w:style>
  <w:style w:styleId="Style_4_ch" w:type="character">
    <w:name w:val="heading 1"/>
    <w:basedOn w:val="Style_8_ch"/>
    <w:link w:val="Style_4"/>
    <w:rPr>
      <w:b w:val="1"/>
      <w:sz w:val="28"/>
    </w:rPr>
  </w:style>
  <w:style w:styleId="Style_22" w:type="paragraph">
    <w:name w:val="Hyperlink"/>
    <w:basedOn w:val="Style_19"/>
    <w:link w:val="Style_22_ch"/>
    <w:rPr>
      <w:color w:val="0000FF"/>
      <w:u w:val="single"/>
    </w:rPr>
  </w:style>
  <w:style w:styleId="Style_22_ch" w:type="character">
    <w:name w:val="Hyperlink"/>
    <w:basedOn w:val="Style_19_ch"/>
    <w:link w:val="Style_22"/>
    <w:rPr>
      <w:color w:val="0000FF"/>
      <w:u w:val="single"/>
    </w:rPr>
  </w:style>
  <w:style w:styleId="Style_23" w:type="paragraph">
    <w:name w:val="Footnote"/>
    <w:basedOn w:val="Style_8"/>
    <w:link w:val="Style_23_ch"/>
    <w:pPr>
      <w:widowControl w:val="1"/>
      <w:spacing w:line="360" w:lineRule="auto"/>
      <w:ind w:firstLine="720" w:left="0"/>
      <w:jc w:val="both"/>
    </w:pPr>
    <w:rPr>
      <w:sz w:val="20"/>
    </w:rPr>
  </w:style>
  <w:style w:styleId="Style_23_ch" w:type="character">
    <w:name w:val="Footnote"/>
    <w:basedOn w:val="Style_8_ch"/>
    <w:link w:val="Style_23"/>
    <w:rPr>
      <w:sz w:val="20"/>
    </w:rPr>
  </w:style>
  <w:style w:styleId="Style_24" w:type="paragraph">
    <w:name w:val="annotation text"/>
    <w:basedOn w:val="Style_8"/>
    <w:link w:val="Style_24_ch"/>
    <w:rPr>
      <w:sz w:val="20"/>
    </w:rPr>
  </w:style>
  <w:style w:styleId="Style_24_ch" w:type="character">
    <w:name w:val="annotation text"/>
    <w:basedOn w:val="Style_8_ch"/>
    <w:link w:val="Style_24"/>
    <w:rPr>
      <w:sz w:val="20"/>
    </w:rPr>
  </w:style>
  <w:style w:styleId="Style_25" w:type="paragraph">
    <w:name w:val="toc 1"/>
    <w:basedOn w:val="Style_8"/>
    <w:link w:val="Style_25_ch"/>
    <w:uiPriority w:val="39"/>
    <w:pPr>
      <w:spacing w:before="48"/>
      <w:ind w:hanging="361" w:left="636"/>
    </w:pPr>
    <w:rPr>
      <w:sz w:val="28"/>
    </w:rPr>
  </w:style>
  <w:style w:styleId="Style_25_ch" w:type="character">
    <w:name w:val="toc 1"/>
    <w:basedOn w:val="Style_8_ch"/>
    <w:link w:val="Style_25"/>
    <w:rPr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8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s_1"/>
    <w:basedOn w:val="Style_8"/>
    <w:link w:val="Style_28_ch"/>
    <w:pPr>
      <w:widowControl w:val="1"/>
      <w:spacing w:afterAutospacing="on" w:beforeAutospacing="on"/>
      <w:ind/>
    </w:pPr>
    <w:rPr>
      <w:sz w:val="24"/>
    </w:rPr>
  </w:style>
  <w:style w:styleId="Style_28_ch" w:type="character">
    <w:name w:val="s_1"/>
    <w:basedOn w:val="Style_8_ch"/>
    <w:link w:val="Style_28"/>
    <w:rPr>
      <w:sz w:val="24"/>
    </w:rPr>
  </w:style>
  <w:style w:styleId="Style_5" w:type="paragraph">
    <w:name w:val="List Paragraph"/>
    <w:basedOn w:val="Style_8"/>
    <w:link w:val="Style_5_ch"/>
    <w:pPr>
      <w:ind w:firstLine="0" w:left="720"/>
      <w:contextualSpacing w:val="1"/>
    </w:pPr>
  </w:style>
  <w:style w:styleId="Style_5_ch" w:type="character">
    <w:name w:val="List Paragraph"/>
    <w:basedOn w:val="Style_8_ch"/>
    <w:link w:val="Style_5"/>
  </w:style>
  <w:style w:styleId="Style_29" w:type="paragraph">
    <w:name w:val="toc 8"/>
    <w:next w:val="Style_8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2" w:type="paragraph">
    <w:name w:val="Body Text"/>
    <w:basedOn w:val="Style_8"/>
    <w:link w:val="Style_2_ch"/>
    <w:pPr>
      <w:ind w:firstLine="707" w:left="202"/>
    </w:pPr>
    <w:rPr>
      <w:sz w:val="24"/>
    </w:rPr>
  </w:style>
  <w:style w:styleId="Style_2_ch" w:type="character">
    <w:name w:val="Body Text"/>
    <w:basedOn w:val="Style_8_ch"/>
    <w:link w:val="Style_2"/>
    <w:rPr>
      <w:sz w:val="24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Неразрешенное упоминание1"/>
    <w:basedOn w:val="Style_19"/>
    <w:link w:val="Style_31_ch"/>
    <w:rPr>
      <w:color w:val="605E5C"/>
      <w:shd w:fill="E1DFDD" w:val="clear"/>
    </w:rPr>
  </w:style>
  <w:style w:styleId="Style_31_ch" w:type="character">
    <w:name w:val="Неразрешенное упоминание1"/>
    <w:basedOn w:val="Style_19_ch"/>
    <w:link w:val="Style_31"/>
    <w:rPr>
      <w:color w:val="605E5C"/>
      <w:shd w:fill="E1DFDD" w:val="clear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2" w:type="paragraph">
    <w:name w:val="header"/>
    <w:basedOn w:val="Style_8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8_ch"/>
    <w:link w:val="Style_32"/>
  </w:style>
  <w:style w:styleId="Style_33" w:type="paragraph">
    <w:name w:val="Subtitle"/>
    <w:next w:val="Style_8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8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nobr"/>
    <w:basedOn w:val="Style_19"/>
    <w:link w:val="Style_35_ch"/>
  </w:style>
  <w:style w:styleId="Style_35_ch" w:type="character">
    <w:name w:val="nobr"/>
    <w:basedOn w:val="Style_19_ch"/>
    <w:link w:val="Style_35"/>
  </w:style>
  <w:style w:styleId="Style_36" w:type="paragraph">
    <w:name w:val="heading 4"/>
    <w:next w:val="Style_8"/>
    <w:link w:val="Style_3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6_ch" w:type="character">
    <w:name w:val="heading 4"/>
    <w:link w:val="Style_36"/>
    <w:rPr>
      <w:rFonts w:ascii="XO Thames" w:hAnsi="XO Thames"/>
      <w:b w:val="1"/>
      <w:sz w:val="24"/>
    </w:rPr>
  </w:style>
  <w:style w:styleId="Style_37" w:type="paragraph">
    <w:name w:val="annotation subject"/>
    <w:basedOn w:val="Style_24"/>
    <w:next w:val="Style_24"/>
    <w:link w:val="Style_37_ch"/>
    <w:rPr>
      <w:b w:val="1"/>
    </w:rPr>
  </w:style>
  <w:style w:styleId="Style_37_ch" w:type="character">
    <w:name w:val="annotation subject"/>
    <w:basedOn w:val="Style_24_ch"/>
    <w:link w:val="Style_37"/>
    <w:rPr>
      <w:b w:val="1"/>
    </w:rPr>
  </w:style>
  <w:style w:styleId="Style_38" w:type="paragraph">
    <w:name w:val="heading 2"/>
    <w:next w:val="Style_8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table">
    <w:name w:val="Table Normal8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0" w:type="table">
    <w:name w:val="Table Normal1"/>
    <w:pPr>
      <w:widowControl w:val="0"/>
      <w:spacing w:after="0" w:line="240" w:lineRule="auto"/>
      <w:ind/>
    </w:pPr>
    <w:rPr>
      <w:rFonts w:ascii="Calibri" w:hAnsi="Calibri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" w:type="table">
    <w:name w:val="Table Normal9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2023-10-30T15:24:34Z</dcterms:modified>
</cp:coreProperties>
</file>