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Pr>
        <w:tabs>
          <w:tab w:leader="none" w:pos="4153" w:val="center"/>
          <w:tab w:leader="none" w:pos="8306" w:val="right"/>
        </w:tabs>
        <w:ind/>
        <w:jc w:val="center"/>
        <w:rPr>
          <w:rFonts w:ascii="Times New Roman" w:hAnsi="Times New Roman"/>
          <w:sz w:val="28"/>
        </w:rPr>
      </w:pPr>
      <w:bookmarkStart w:id="1" w:name="_Hlk72425768"/>
      <w:r>
        <w:rPr>
          <w:rFonts w:ascii="Times New Roman" w:hAnsi="Times New Roman"/>
          <w:sz w:val="28"/>
        </w:rPr>
        <w:t xml:space="preserve">Автономная некоммерческая организация </w:t>
      </w:r>
    </w:p>
    <w:p w14:paraId="06000000">
      <w:pPr>
        <w:tabs>
          <w:tab w:leader="none" w:pos="4153" w:val="center"/>
          <w:tab w:leader="none" w:pos="8306" w:val="right"/>
        </w:tabs>
        <w:ind/>
        <w:jc w:val="center"/>
        <w:rPr>
          <w:rFonts w:ascii="Times New Roman" w:hAnsi="Times New Roman"/>
          <w:b w:val="1"/>
          <w:caps w:val="1"/>
          <w:sz w:val="28"/>
        </w:rPr>
      </w:pPr>
      <w:r>
        <w:rPr>
          <w:rFonts w:ascii="Times New Roman" w:hAnsi="Times New Roman"/>
          <w:b w:val="1"/>
          <w:sz w:val="28"/>
        </w:rPr>
        <w:t>«Научно-исследовательский «Центр развития энергетического права и современной правовой науки имени В.А. Мусина»</w:t>
      </w:r>
      <w:bookmarkEnd w:id="1"/>
    </w:p>
    <w:p w14:paraId="07000000">
      <w:pPr>
        <w:ind/>
        <w:jc w:val="center"/>
        <w:rPr>
          <w:rFonts w:ascii="Times New Roman" w:hAnsi="Times New Roman"/>
          <w:b w:val="1"/>
          <w:sz w:val="28"/>
        </w:rPr>
      </w:pPr>
    </w:p>
    <w:p w14:paraId="08000000">
      <w:pPr>
        <w:ind/>
        <w:jc w:val="center"/>
        <w:rPr>
          <w:rFonts w:ascii="Times New Roman" w:hAnsi="Times New Roman"/>
          <w:b w:val="1"/>
          <w:sz w:val="28"/>
        </w:rPr>
      </w:pPr>
      <w:r>
        <w:rPr>
          <w:rFonts w:ascii="Times New Roman" w:hAnsi="Times New Roman"/>
          <w:b w:val="1"/>
          <w:sz w:val="28"/>
        </w:rPr>
        <w:t xml:space="preserve">Методические </w:t>
      </w:r>
      <w:r>
        <w:rPr>
          <w:rFonts w:ascii="Times New Roman" w:hAnsi="Times New Roman"/>
          <w:b w:val="1"/>
          <w:sz w:val="28"/>
        </w:rPr>
        <w:t xml:space="preserve">рекомендации </w:t>
      </w:r>
      <w:r>
        <w:rPr>
          <w:rFonts w:ascii="Times New Roman" w:hAnsi="Times New Roman"/>
          <w:b w:val="1"/>
          <w:sz w:val="28"/>
        </w:rPr>
        <w:t xml:space="preserve">по написанию и </w:t>
      </w:r>
      <w:r>
        <w:rPr>
          <w:rFonts w:ascii="Times New Roman" w:hAnsi="Times New Roman"/>
          <w:b w:val="1"/>
          <w:sz w:val="28"/>
        </w:rPr>
        <w:t xml:space="preserve">подготовке к </w:t>
      </w:r>
      <w:r>
        <w:rPr>
          <w:rFonts w:ascii="Times New Roman" w:hAnsi="Times New Roman"/>
          <w:b w:val="1"/>
          <w:sz w:val="28"/>
        </w:rPr>
        <w:t>защите диссертации на соискание ученой степени кандидата наук</w:t>
      </w:r>
    </w:p>
    <w:p w14:paraId="09000000">
      <w:pPr>
        <w:ind/>
        <w:jc w:val="center"/>
        <w:rPr>
          <w:rFonts w:ascii="Times New Roman" w:hAnsi="Times New Roman"/>
          <w:b w:val="1"/>
          <w:sz w:val="28"/>
        </w:rPr>
      </w:pPr>
    </w:p>
    <w:tbl>
      <w:tblPr>
        <w:tblStyle w:val="Style_4"/>
        <w:tblLayout w:type="fixed"/>
      </w:tblPr>
      <w:tblGrid>
        <w:gridCol w:w="3369"/>
        <w:gridCol w:w="6237"/>
      </w:tblGrid>
      <w:tr>
        <w:trPr>
          <w:trHeight w:hRule="atLeast" w:val="2882"/>
        </w:trPr>
        <w:tc>
          <w:tcPr>
            <w:tcW w:type="dxa" w:w="3369"/>
            <w:tcMar>
              <w:top w:type="dxa" w:w="0"/>
              <w:left w:type="dxa" w:w="108"/>
              <w:bottom w:type="dxa" w:w="0"/>
              <w:right w:type="dxa" w:w="108"/>
            </w:tcMar>
            <w:vAlign w:val="center"/>
          </w:tcPr>
          <w:p w14:paraId="0A000000">
            <w:pPr>
              <w:rPr>
                <w:rFonts w:ascii="Times New Roman" w:hAnsi="Times New Roman"/>
                <w:sz w:val="28"/>
              </w:rPr>
            </w:pPr>
          </w:p>
          <w:p w14:paraId="0B000000">
            <w:pPr>
              <w:rPr>
                <w:rFonts w:ascii="Times New Roman" w:hAnsi="Times New Roman"/>
                <w:b w:val="1"/>
                <w:sz w:val="28"/>
              </w:rPr>
            </w:pPr>
            <w:r>
              <w:rPr>
                <w:rFonts w:ascii="Times New Roman" w:hAnsi="Times New Roman"/>
                <w:sz w:val="28"/>
              </w:rPr>
              <w:t>Направление подготовки/научная специальность</w:t>
            </w:r>
          </w:p>
        </w:tc>
        <w:tc>
          <w:tcPr>
            <w:tcW w:type="dxa" w:w="6237"/>
            <w:tcMar>
              <w:top w:type="dxa" w:w="0"/>
              <w:left w:type="dxa" w:w="108"/>
              <w:bottom w:type="dxa" w:w="0"/>
              <w:right w:type="dxa" w:w="108"/>
            </w:tcMar>
            <w:vAlign w:val="center"/>
          </w:tcPr>
          <w:p w14:paraId="0C000000">
            <w:pPr>
              <w:rPr>
                <w:rFonts w:ascii="Times New Roman" w:hAnsi="Times New Roman"/>
                <w:sz w:val="28"/>
              </w:rPr>
            </w:pPr>
            <w:r>
              <w:rPr>
                <w:rFonts w:ascii="Times New Roman" w:hAnsi="Times New Roman"/>
                <w:sz w:val="28"/>
              </w:rPr>
              <w:t>5.1.2. Публично-правовые (государственно-правовые) науки</w:t>
            </w:r>
          </w:p>
          <w:p w14:paraId="0D000000">
            <w:pPr>
              <w:rPr>
                <w:rFonts w:ascii="Times New Roman" w:hAnsi="Times New Roman"/>
                <w:sz w:val="28"/>
              </w:rPr>
            </w:pPr>
            <w:r>
              <w:rPr>
                <w:rFonts w:ascii="Times New Roman" w:hAnsi="Times New Roman"/>
                <w:sz w:val="28"/>
              </w:rPr>
              <w:t xml:space="preserve">5.1.3. </w:t>
            </w:r>
            <w:r>
              <w:rPr>
                <w:rFonts w:ascii="Times New Roman" w:hAnsi="Times New Roman"/>
                <w:sz w:val="28"/>
              </w:rPr>
              <w:t>Частно-правовые (</w:t>
            </w:r>
            <w:r>
              <w:rPr>
                <w:rFonts w:ascii="Times New Roman" w:hAnsi="Times New Roman"/>
                <w:sz w:val="28"/>
              </w:rPr>
              <w:t>цивилистические</w:t>
            </w:r>
            <w:r>
              <w:rPr>
                <w:rFonts w:ascii="Times New Roman" w:hAnsi="Times New Roman"/>
                <w:sz w:val="28"/>
              </w:rPr>
              <w:t>) науки</w:t>
            </w:r>
          </w:p>
          <w:p w14:paraId="0E000000">
            <w:pPr>
              <w:rPr>
                <w:rFonts w:ascii="Times New Roman" w:hAnsi="Times New Roman"/>
                <w:sz w:val="28"/>
              </w:rPr>
            </w:pPr>
            <w:r>
              <w:rPr>
                <w:rFonts w:ascii="Times New Roman" w:hAnsi="Times New Roman"/>
                <w:sz w:val="28"/>
              </w:rPr>
              <w:t>5.1.5</w:t>
            </w:r>
            <w:r>
              <w:rPr>
                <w:rFonts w:ascii="Times New Roman" w:hAnsi="Times New Roman"/>
                <w:sz w:val="28"/>
              </w:rPr>
              <w:t>. Международно-правовые науки</w:t>
            </w:r>
          </w:p>
          <w:p w14:paraId="0F000000">
            <w:pPr>
              <w:rPr>
                <w:rFonts w:ascii="Times New Roman" w:hAnsi="Times New Roman"/>
                <w:i w:val="1"/>
                <w:color w:val="E36C0A"/>
              </w:rPr>
            </w:pPr>
          </w:p>
        </w:tc>
      </w:tr>
      <w:tr>
        <w:trPr>
          <w:trHeight w:hRule="atLeast" w:val="2857"/>
        </w:trPr>
        <w:tc>
          <w:tcPr>
            <w:tcW w:type="dxa" w:w="3369"/>
            <w:tcMar>
              <w:top w:type="dxa" w:w="0"/>
              <w:left w:type="dxa" w:w="108"/>
              <w:bottom w:type="dxa" w:w="0"/>
              <w:right w:type="dxa" w:w="108"/>
            </w:tcMar>
          </w:tcPr>
          <w:p w14:paraId="10000000">
            <w:pPr>
              <w:rPr>
                <w:rFonts w:ascii="Times New Roman" w:hAnsi="Times New Roman"/>
                <w:sz w:val="28"/>
              </w:rPr>
            </w:pPr>
          </w:p>
          <w:p w14:paraId="11000000">
            <w:pPr>
              <w:rPr>
                <w:rFonts w:ascii="Times New Roman" w:hAnsi="Times New Roman"/>
                <w:sz w:val="28"/>
              </w:rPr>
            </w:pPr>
            <w:r>
              <w:rPr>
                <w:rFonts w:ascii="Times New Roman" w:hAnsi="Times New Roman"/>
                <w:sz w:val="28"/>
              </w:rPr>
              <w:t>Направленность (профиль) программы</w:t>
            </w:r>
          </w:p>
        </w:tc>
        <w:tc>
          <w:tcPr>
            <w:tcW w:type="dxa" w:w="6237"/>
            <w:tcMar>
              <w:top w:type="dxa" w:w="0"/>
              <w:left w:type="dxa" w:w="108"/>
              <w:bottom w:type="dxa" w:w="0"/>
              <w:right w:type="dxa" w:w="108"/>
            </w:tcMar>
            <w:vAlign w:val="center"/>
          </w:tcPr>
          <w:p w14:paraId="12000000">
            <w:pPr>
              <w:spacing w:line="276" w:lineRule="auto"/>
              <w:ind w:firstLine="33" w:left="0"/>
              <w:rPr>
                <w:rFonts w:ascii="Times New Roman" w:hAnsi="Times New Roman"/>
                <w:sz w:val="28"/>
              </w:rPr>
            </w:pPr>
            <w:r>
              <w:rPr>
                <w:rFonts w:ascii="Times New Roman" w:hAnsi="Times New Roman"/>
                <w:sz w:val="28"/>
              </w:rPr>
              <w:t>Энергетическое право. Публично-правовые отношения</w:t>
            </w:r>
          </w:p>
          <w:p w14:paraId="13000000">
            <w:pPr>
              <w:spacing w:line="276" w:lineRule="auto"/>
              <w:ind w:firstLine="33" w:left="0"/>
              <w:rPr>
                <w:rFonts w:ascii="Times New Roman" w:hAnsi="Times New Roman"/>
                <w:sz w:val="28"/>
              </w:rPr>
            </w:pPr>
            <w:r>
              <w:rPr>
                <w:rFonts w:ascii="Times New Roman" w:hAnsi="Times New Roman"/>
                <w:sz w:val="28"/>
              </w:rPr>
              <w:t>Энергетическое право. Частно-правовые отношения.</w:t>
            </w:r>
          </w:p>
          <w:p w14:paraId="14000000">
            <w:pPr>
              <w:spacing w:line="276" w:lineRule="auto"/>
              <w:ind w:firstLine="33" w:left="0"/>
              <w:rPr>
                <w:rFonts w:ascii="Times New Roman" w:hAnsi="Times New Roman"/>
                <w:sz w:val="28"/>
              </w:rPr>
            </w:pPr>
            <w:r>
              <w:rPr>
                <w:rFonts w:ascii="Times New Roman" w:hAnsi="Times New Roman"/>
                <w:sz w:val="28"/>
              </w:rPr>
              <w:t>Энергетическое право. Международно-правовые отношения.</w:t>
            </w:r>
          </w:p>
          <w:p w14:paraId="15000000">
            <w:pPr>
              <w:spacing w:line="276" w:lineRule="auto"/>
              <w:ind w:firstLine="33" w:left="0"/>
              <w:rPr>
                <w:rFonts w:ascii="Times New Roman" w:hAnsi="Times New Roman"/>
                <w:i w:val="1"/>
                <w:color w:val="E36C0A"/>
              </w:rPr>
            </w:pPr>
          </w:p>
        </w:tc>
      </w:tr>
      <w:tr>
        <w:tc>
          <w:tcPr>
            <w:tcW w:type="dxa" w:w="3369"/>
            <w:tcMar>
              <w:top w:type="dxa" w:w="0"/>
              <w:left w:type="dxa" w:w="108"/>
              <w:bottom w:type="dxa" w:w="0"/>
              <w:right w:type="dxa" w:w="108"/>
            </w:tcMar>
          </w:tcPr>
          <w:p w14:paraId="16000000">
            <w:pPr>
              <w:rPr>
                <w:rFonts w:ascii="Times New Roman" w:hAnsi="Times New Roman"/>
                <w:sz w:val="28"/>
              </w:rPr>
            </w:pPr>
            <w:r>
              <w:rPr>
                <w:rFonts w:ascii="Times New Roman" w:hAnsi="Times New Roman"/>
                <w:sz w:val="28"/>
              </w:rPr>
              <w:t>Уровень высшего образования</w:t>
            </w:r>
          </w:p>
          <w:p w14:paraId="17000000">
            <w:pPr>
              <w:rPr>
                <w:rFonts w:ascii="Times New Roman" w:hAnsi="Times New Roman"/>
                <w:sz w:val="28"/>
              </w:rPr>
            </w:pPr>
            <w:r>
              <w:rPr>
                <w:rFonts w:ascii="Times New Roman" w:hAnsi="Times New Roman"/>
                <w:sz w:val="28"/>
              </w:rPr>
              <w:t>Форма обучения</w:t>
            </w:r>
          </w:p>
        </w:tc>
        <w:tc>
          <w:tcPr>
            <w:tcW w:type="dxa" w:w="6237"/>
            <w:tcMar>
              <w:top w:type="dxa" w:w="0"/>
              <w:left w:type="dxa" w:w="108"/>
              <w:bottom w:type="dxa" w:w="0"/>
              <w:right w:type="dxa" w:w="108"/>
            </w:tcMar>
            <w:vAlign w:val="center"/>
          </w:tcPr>
          <w:p w14:paraId="18000000">
            <w:pPr>
              <w:spacing w:line="276" w:lineRule="auto"/>
              <w:ind/>
              <w:rPr>
                <w:rFonts w:ascii="Times New Roman" w:hAnsi="Times New Roman"/>
                <w:sz w:val="28"/>
              </w:rPr>
            </w:pPr>
            <w:r>
              <w:rPr>
                <w:rFonts w:ascii="Times New Roman" w:hAnsi="Times New Roman"/>
                <w:sz w:val="28"/>
              </w:rPr>
              <w:t>Подготовка кадров высшей квалификации</w:t>
            </w:r>
          </w:p>
          <w:p w14:paraId="19000000">
            <w:pPr>
              <w:rPr>
                <w:rFonts w:ascii="Times New Roman" w:hAnsi="Times New Roman"/>
                <w:sz w:val="28"/>
              </w:rPr>
            </w:pPr>
          </w:p>
          <w:p w14:paraId="1A000000">
            <w:pPr>
              <w:rPr>
                <w:rFonts w:ascii="Times New Roman" w:hAnsi="Times New Roman"/>
                <w:sz w:val="28"/>
              </w:rPr>
            </w:pPr>
            <w:r>
              <w:rPr>
                <w:rFonts w:ascii="Times New Roman" w:hAnsi="Times New Roman"/>
                <w:sz w:val="28"/>
              </w:rPr>
              <w:t>очная</w:t>
            </w:r>
          </w:p>
        </w:tc>
      </w:tr>
    </w:tbl>
    <w:p w14:paraId="1B000000">
      <w:pPr>
        <w:ind/>
        <w:jc w:val="center"/>
        <w:rPr>
          <w:rFonts w:ascii="Times New Roman" w:hAnsi="Times New Roman"/>
          <w:b w:val="1"/>
          <w:sz w:val="28"/>
        </w:rPr>
      </w:pPr>
    </w:p>
    <w:p w14:paraId="1C000000">
      <w:pPr>
        <w:tabs>
          <w:tab w:leader="none" w:pos="510" w:val="left"/>
        </w:tabs>
        <w:spacing w:line="240" w:lineRule="atLeast"/>
        <w:ind/>
        <w:rPr>
          <w:rFonts w:ascii="Times New Roman" w:hAnsi="Times New Roman"/>
          <w:b w:val="1"/>
          <w:sz w:val="28"/>
        </w:rPr>
      </w:pPr>
    </w:p>
    <w:p w14:paraId="1D000000">
      <w:pPr>
        <w:tabs>
          <w:tab w:leader="none" w:pos="510" w:val="left"/>
        </w:tabs>
        <w:spacing w:line="240" w:lineRule="atLeast"/>
        <w:ind/>
        <w:rPr>
          <w:rFonts w:ascii="Times New Roman" w:hAnsi="Times New Roman"/>
          <w:b w:val="1"/>
          <w:sz w:val="28"/>
        </w:rPr>
      </w:pPr>
    </w:p>
    <w:p w14:paraId="1E000000">
      <w:pPr>
        <w:tabs>
          <w:tab w:leader="none" w:pos="510" w:val="left"/>
        </w:tabs>
        <w:spacing w:line="240" w:lineRule="atLeast"/>
        <w:ind/>
        <w:rPr>
          <w:rFonts w:ascii="Times New Roman" w:hAnsi="Times New Roman"/>
          <w:b w:val="1"/>
          <w:sz w:val="28"/>
        </w:rPr>
      </w:pPr>
    </w:p>
    <w:p w14:paraId="1F000000">
      <w:pPr>
        <w:tabs>
          <w:tab w:leader="none" w:pos="510" w:val="left"/>
        </w:tabs>
        <w:spacing w:line="240" w:lineRule="atLeast"/>
        <w:ind/>
        <w:rPr>
          <w:rFonts w:ascii="Times New Roman" w:hAnsi="Times New Roman"/>
          <w:b w:val="1"/>
          <w:sz w:val="28"/>
        </w:rPr>
      </w:pPr>
    </w:p>
    <w:p w14:paraId="20000000">
      <w:pPr>
        <w:ind/>
        <w:jc w:val="center"/>
        <w:rPr>
          <w:rFonts w:ascii="Times New Roman" w:hAnsi="Times New Roman"/>
          <w:sz w:val="28"/>
        </w:rPr>
      </w:pPr>
      <w:r>
        <w:rPr>
          <w:rFonts w:ascii="Times New Roman" w:hAnsi="Times New Roman"/>
          <w:sz w:val="28"/>
        </w:rPr>
        <w:t>2022 г.</w:t>
      </w:r>
    </w:p>
    <w:p w14:paraId="21000000">
      <w:pPr>
        <w:spacing w:after="0" w:line="240" w:lineRule="auto"/>
        <w:ind w:firstLine="709" w:left="0"/>
        <w:rPr>
          <w:rFonts w:ascii="Times New Roman" w:hAnsi="Times New Roman"/>
          <w:sz w:val="28"/>
        </w:rPr>
      </w:pPr>
      <w:r>
        <w:rPr>
          <w:rFonts w:ascii="Times New Roman" w:hAnsi="Times New Roman"/>
          <w:sz w:val="28"/>
        </w:rPr>
        <w:t>Автор: Романова В.В., доктор юридических наук, профессор</w:t>
      </w:r>
    </w:p>
    <w:p w14:paraId="22000000">
      <w:pPr>
        <w:spacing w:after="0" w:line="240" w:lineRule="auto"/>
        <w:ind w:firstLine="709" w:left="0"/>
        <w:jc w:val="both"/>
        <w:rPr>
          <w:rFonts w:ascii="Times New Roman" w:hAnsi="Times New Roman"/>
          <w:sz w:val="28"/>
        </w:rPr>
      </w:pPr>
    </w:p>
    <w:p w14:paraId="23000000">
      <w:pPr>
        <w:spacing w:after="0" w:line="240" w:lineRule="auto"/>
        <w:ind w:firstLine="709" w:left="0"/>
        <w:jc w:val="both"/>
        <w:rPr>
          <w:rFonts w:ascii="Times New Roman" w:hAnsi="Times New Roman"/>
          <w:sz w:val="28"/>
        </w:rPr>
      </w:pPr>
      <w:r>
        <w:rPr>
          <w:rFonts w:ascii="Times New Roman" w:hAnsi="Times New Roman"/>
          <w:sz w:val="28"/>
        </w:rPr>
        <w:t>Методическое оформление: Коленькова М.А.</w:t>
      </w:r>
    </w:p>
    <w:p w14:paraId="24000000">
      <w:pPr>
        <w:spacing w:after="0" w:line="240" w:lineRule="auto"/>
        <w:ind w:firstLine="709" w:left="0"/>
        <w:rPr>
          <w:rFonts w:ascii="Times New Roman" w:hAnsi="Times New Roman"/>
          <w:sz w:val="28"/>
        </w:rPr>
      </w:pPr>
    </w:p>
    <w:p w14:paraId="25000000">
      <w:pPr>
        <w:spacing w:after="0" w:line="240" w:lineRule="auto"/>
        <w:ind w:firstLine="709" w:left="0"/>
        <w:rPr>
          <w:rFonts w:ascii="Times New Roman" w:hAnsi="Times New Roman"/>
          <w:sz w:val="28"/>
        </w:rPr>
      </w:pPr>
    </w:p>
    <w:p w14:paraId="26000000">
      <w:pPr>
        <w:spacing w:after="0" w:line="240" w:lineRule="auto"/>
        <w:ind w:firstLine="709" w:left="0"/>
        <w:rPr>
          <w:rFonts w:ascii="Times New Roman" w:hAnsi="Times New Roman"/>
          <w:sz w:val="28"/>
        </w:rPr>
      </w:pPr>
    </w:p>
    <w:p w14:paraId="27000000">
      <w:pPr>
        <w:spacing w:after="0" w:line="240" w:lineRule="auto"/>
        <w:ind w:firstLine="709" w:left="0"/>
        <w:rPr>
          <w:rFonts w:ascii="Times New Roman" w:hAnsi="Times New Roman"/>
          <w:sz w:val="28"/>
        </w:rPr>
      </w:pPr>
    </w:p>
    <w:p w14:paraId="28000000">
      <w:pPr>
        <w:spacing w:after="0" w:line="240" w:lineRule="auto"/>
        <w:ind w:firstLine="709" w:left="0"/>
        <w:rPr>
          <w:rFonts w:ascii="Times New Roman" w:hAnsi="Times New Roman"/>
          <w:sz w:val="28"/>
          <w:highlight w:val="yellow"/>
        </w:rPr>
      </w:pPr>
    </w:p>
    <w:p w14:paraId="29000000">
      <w:pPr>
        <w:spacing w:after="0" w:line="240" w:lineRule="auto"/>
        <w:ind w:firstLine="709" w:left="0"/>
        <w:rPr>
          <w:rFonts w:ascii="Times New Roman" w:hAnsi="Times New Roman"/>
          <w:b w:val="1"/>
          <w:sz w:val="28"/>
        </w:rPr>
      </w:pPr>
    </w:p>
    <w:p w14:paraId="2A000000">
      <w:pPr>
        <w:spacing w:after="0" w:line="240" w:lineRule="auto"/>
        <w:ind w:firstLine="709" w:left="0"/>
        <w:jc w:val="center"/>
        <w:rPr>
          <w:rFonts w:ascii="Times New Roman" w:hAnsi="Times New Roman"/>
          <w:b w:val="1"/>
          <w:sz w:val="28"/>
        </w:rPr>
      </w:pPr>
    </w:p>
    <w:p w14:paraId="2B000000">
      <w:pPr>
        <w:spacing w:after="0" w:line="240" w:lineRule="auto"/>
        <w:ind w:firstLine="709" w:left="0"/>
        <w:jc w:val="center"/>
        <w:rPr>
          <w:rFonts w:ascii="Times New Roman" w:hAnsi="Times New Roman"/>
          <w:b w:val="1"/>
          <w:sz w:val="28"/>
        </w:rPr>
      </w:pPr>
    </w:p>
    <w:p w14:paraId="2C000000">
      <w:pPr>
        <w:spacing w:after="0" w:line="240" w:lineRule="auto"/>
        <w:ind w:firstLine="709" w:left="0"/>
        <w:rPr>
          <w:rFonts w:ascii="Times New Roman" w:hAnsi="Times New Roman"/>
          <w:sz w:val="28"/>
        </w:rPr>
      </w:pPr>
    </w:p>
    <w:p w14:paraId="2D000000">
      <w:pPr>
        <w:spacing w:after="0" w:line="240" w:lineRule="auto"/>
        <w:ind w:firstLine="709" w:left="0"/>
        <w:rPr>
          <w:rFonts w:ascii="Times New Roman" w:hAnsi="Times New Roman"/>
          <w:sz w:val="28"/>
        </w:rPr>
      </w:pPr>
    </w:p>
    <w:p w14:paraId="2E000000">
      <w:pPr>
        <w:spacing w:after="0" w:line="240" w:lineRule="auto"/>
        <w:ind w:firstLine="709" w:left="0"/>
        <w:rPr>
          <w:rFonts w:ascii="Times New Roman" w:hAnsi="Times New Roman"/>
          <w:sz w:val="28"/>
        </w:rPr>
      </w:pPr>
    </w:p>
    <w:p w14:paraId="2F000000">
      <w:pPr>
        <w:spacing w:after="0" w:line="240" w:lineRule="auto"/>
        <w:ind w:firstLine="709" w:left="0"/>
        <w:rPr>
          <w:rFonts w:ascii="Times New Roman" w:hAnsi="Times New Roman"/>
          <w:sz w:val="28"/>
        </w:rPr>
      </w:pPr>
    </w:p>
    <w:p w14:paraId="30000000">
      <w:pPr>
        <w:spacing w:after="0" w:line="240" w:lineRule="auto"/>
        <w:ind w:firstLine="709" w:left="0"/>
        <w:rPr>
          <w:rFonts w:ascii="Times New Roman" w:hAnsi="Times New Roman"/>
          <w:sz w:val="28"/>
        </w:rPr>
      </w:pPr>
    </w:p>
    <w:p w14:paraId="31000000">
      <w:pPr>
        <w:spacing w:after="0" w:line="240" w:lineRule="auto"/>
        <w:ind w:firstLine="709" w:left="0"/>
        <w:rPr>
          <w:rFonts w:ascii="Times New Roman" w:hAnsi="Times New Roman"/>
          <w:sz w:val="28"/>
        </w:rPr>
      </w:pPr>
    </w:p>
    <w:p w14:paraId="32000000">
      <w:pPr>
        <w:spacing w:after="0" w:line="240" w:lineRule="auto"/>
        <w:ind w:firstLine="709" w:left="0"/>
        <w:rPr>
          <w:rFonts w:ascii="Times New Roman" w:hAnsi="Times New Roman"/>
          <w:sz w:val="28"/>
        </w:rPr>
      </w:pPr>
    </w:p>
    <w:p w14:paraId="33000000">
      <w:pPr>
        <w:spacing w:after="0" w:line="240" w:lineRule="auto"/>
        <w:ind w:firstLine="709" w:left="0"/>
        <w:rPr>
          <w:rFonts w:ascii="Times New Roman" w:hAnsi="Times New Roman"/>
          <w:sz w:val="28"/>
        </w:rPr>
      </w:pPr>
    </w:p>
    <w:p w14:paraId="34000000">
      <w:pPr>
        <w:spacing w:after="0" w:line="240" w:lineRule="auto"/>
        <w:ind w:firstLine="709" w:left="0"/>
        <w:rPr>
          <w:rFonts w:ascii="Times New Roman" w:hAnsi="Times New Roman"/>
          <w:sz w:val="28"/>
        </w:rPr>
      </w:pPr>
    </w:p>
    <w:p w14:paraId="35000000">
      <w:pPr>
        <w:spacing w:after="0" w:line="240" w:lineRule="auto"/>
        <w:ind w:firstLine="709" w:left="0"/>
        <w:rPr>
          <w:rFonts w:ascii="Times New Roman" w:hAnsi="Times New Roman"/>
          <w:sz w:val="28"/>
        </w:rPr>
      </w:pPr>
    </w:p>
    <w:p w14:paraId="36000000">
      <w:pPr>
        <w:spacing w:after="0" w:line="240" w:lineRule="auto"/>
        <w:ind w:firstLine="709" w:left="0"/>
        <w:rPr>
          <w:rFonts w:ascii="Times New Roman" w:hAnsi="Times New Roman"/>
          <w:sz w:val="28"/>
        </w:rPr>
      </w:pPr>
    </w:p>
    <w:p w14:paraId="37000000">
      <w:pPr>
        <w:spacing w:after="0" w:line="240" w:lineRule="auto"/>
        <w:ind w:firstLine="709" w:left="0"/>
        <w:rPr>
          <w:rFonts w:ascii="Times New Roman" w:hAnsi="Times New Roman"/>
          <w:sz w:val="28"/>
        </w:rPr>
      </w:pPr>
    </w:p>
    <w:p w14:paraId="38000000">
      <w:pPr>
        <w:spacing w:after="0" w:line="240" w:lineRule="auto"/>
        <w:ind w:firstLine="709" w:left="0"/>
        <w:rPr>
          <w:rFonts w:ascii="Times New Roman" w:hAnsi="Times New Roman"/>
          <w:sz w:val="28"/>
        </w:rPr>
      </w:pPr>
    </w:p>
    <w:p w14:paraId="39000000">
      <w:pPr>
        <w:spacing w:after="0" w:line="240" w:lineRule="auto"/>
        <w:ind w:firstLine="709" w:left="0"/>
        <w:rPr>
          <w:rFonts w:ascii="Times New Roman" w:hAnsi="Times New Roman"/>
          <w:sz w:val="28"/>
        </w:rPr>
      </w:pPr>
    </w:p>
    <w:p w14:paraId="3A000000">
      <w:pPr>
        <w:spacing w:after="0" w:line="240" w:lineRule="auto"/>
        <w:ind w:firstLine="709" w:left="0"/>
        <w:rPr>
          <w:rFonts w:ascii="Times New Roman" w:hAnsi="Times New Roman"/>
          <w:sz w:val="28"/>
        </w:rPr>
      </w:pPr>
    </w:p>
    <w:p w14:paraId="3B000000">
      <w:pPr>
        <w:spacing w:after="0" w:line="240" w:lineRule="auto"/>
        <w:ind w:firstLine="709" w:left="0"/>
        <w:rPr>
          <w:rFonts w:ascii="Times New Roman" w:hAnsi="Times New Roman"/>
          <w:sz w:val="28"/>
        </w:rPr>
      </w:pPr>
    </w:p>
    <w:p w14:paraId="3C000000">
      <w:pPr>
        <w:spacing w:after="0" w:line="240" w:lineRule="auto"/>
        <w:ind w:firstLine="709" w:left="0"/>
        <w:rPr>
          <w:rFonts w:ascii="Times New Roman" w:hAnsi="Times New Roman"/>
          <w:sz w:val="28"/>
        </w:rPr>
      </w:pPr>
    </w:p>
    <w:p w14:paraId="3D000000">
      <w:pPr>
        <w:spacing w:after="0" w:line="240" w:lineRule="auto"/>
        <w:ind w:firstLine="709" w:left="0"/>
        <w:rPr>
          <w:rFonts w:ascii="Times New Roman" w:hAnsi="Times New Roman"/>
          <w:sz w:val="28"/>
        </w:rPr>
      </w:pPr>
    </w:p>
    <w:p w14:paraId="3E000000">
      <w:pPr>
        <w:spacing w:after="0" w:line="240" w:lineRule="auto"/>
        <w:ind w:firstLine="709" w:left="0"/>
        <w:rPr>
          <w:rFonts w:ascii="Times New Roman" w:hAnsi="Times New Roman"/>
          <w:sz w:val="28"/>
        </w:rPr>
      </w:pPr>
    </w:p>
    <w:p w14:paraId="3F000000">
      <w:pPr>
        <w:spacing w:after="0" w:line="240" w:lineRule="auto"/>
        <w:ind w:firstLine="709" w:left="0"/>
        <w:rPr>
          <w:rFonts w:ascii="Times New Roman" w:hAnsi="Times New Roman"/>
          <w:sz w:val="28"/>
        </w:rPr>
      </w:pPr>
    </w:p>
    <w:p w14:paraId="40000000">
      <w:pPr>
        <w:spacing w:after="0" w:line="240" w:lineRule="auto"/>
        <w:ind w:firstLine="709" w:left="0"/>
        <w:rPr>
          <w:rFonts w:ascii="Times New Roman" w:hAnsi="Times New Roman"/>
          <w:sz w:val="28"/>
        </w:rPr>
      </w:pPr>
    </w:p>
    <w:p w14:paraId="41000000">
      <w:pPr>
        <w:spacing w:after="0" w:line="240" w:lineRule="auto"/>
        <w:ind w:firstLine="709" w:left="0"/>
        <w:rPr>
          <w:rFonts w:ascii="Times New Roman" w:hAnsi="Times New Roman"/>
          <w:sz w:val="28"/>
        </w:rPr>
      </w:pPr>
    </w:p>
    <w:p w14:paraId="42000000">
      <w:pPr>
        <w:spacing w:after="0" w:line="240" w:lineRule="auto"/>
        <w:ind w:firstLine="709" w:left="0"/>
        <w:rPr>
          <w:rFonts w:ascii="Times New Roman" w:hAnsi="Times New Roman"/>
          <w:sz w:val="28"/>
        </w:rPr>
      </w:pPr>
    </w:p>
    <w:p w14:paraId="43000000">
      <w:pPr>
        <w:spacing w:after="0" w:line="240" w:lineRule="auto"/>
        <w:ind w:firstLine="709" w:left="0"/>
        <w:rPr>
          <w:rFonts w:ascii="Times New Roman" w:hAnsi="Times New Roman"/>
          <w:sz w:val="28"/>
        </w:rPr>
      </w:pPr>
    </w:p>
    <w:p w14:paraId="44000000">
      <w:pPr>
        <w:spacing w:after="0" w:line="240" w:lineRule="auto"/>
        <w:ind w:firstLine="709" w:left="0"/>
        <w:rPr>
          <w:rFonts w:ascii="Times New Roman" w:hAnsi="Times New Roman"/>
          <w:sz w:val="28"/>
        </w:rPr>
      </w:pPr>
    </w:p>
    <w:p w14:paraId="45000000">
      <w:pPr>
        <w:spacing w:after="0" w:line="240" w:lineRule="auto"/>
        <w:ind w:firstLine="709" w:left="0"/>
        <w:rPr>
          <w:rFonts w:ascii="Times New Roman" w:hAnsi="Times New Roman"/>
          <w:sz w:val="28"/>
        </w:rPr>
      </w:pPr>
    </w:p>
    <w:p w14:paraId="46000000">
      <w:pPr>
        <w:spacing w:after="0" w:line="240" w:lineRule="auto"/>
        <w:ind w:firstLine="709" w:left="0"/>
        <w:rPr>
          <w:rFonts w:ascii="Times New Roman" w:hAnsi="Times New Roman"/>
          <w:sz w:val="28"/>
        </w:rPr>
      </w:pPr>
    </w:p>
    <w:p w14:paraId="47000000">
      <w:pPr>
        <w:spacing w:after="0" w:line="240" w:lineRule="auto"/>
        <w:ind w:firstLine="709" w:left="0"/>
        <w:jc w:val="right"/>
        <w:rPr>
          <w:rFonts w:ascii="Times New Roman" w:hAnsi="Times New Roman"/>
          <w:sz w:val="28"/>
        </w:rPr>
      </w:pPr>
    </w:p>
    <w:p w14:paraId="48000000">
      <w:pPr>
        <w:spacing w:after="0" w:line="240" w:lineRule="auto"/>
        <w:ind w:firstLine="709" w:left="0"/>
        <w:jc w:val="right"/>
        <w:rPr>
          <w:rFonts w:ascii="Times New Roman" w:hAnsi="Times New Roman"/>
          <w:sz w:val="28"/>
        </w:rPr>
      </w:pPr>
    </w:p>
    <w:p w14:paraId="49000000">
      <w:pPr>
        <w:spacing w:after="0" w:line="240" w:lineRule="auto"/>
        <w:ind w:firstLine="709" w:left="0"/>
        <w:jc w:val="right"/>
        <w:rPr>
          <w:rFonts w:ascii="Times New Roman" w:hAnsi="Times New Roman"/>
          <w:sz w:val="28"/>
        </w:rPr>
      </w:pPr>
      <w:r>
        <w:rPr>
          <w:rFonts w:ascii="Times New Roman" w:hAnsi="Times New Roman"/>
          <w:sz w:val="28"/>
        </w:rPr>
        <w:t>© АНО «Научно-исследовательский</w:t>
      </w:r>
    </w:p>
    <w:p w14:paraId="4A000000">
      <w:pPr>
        <w:spacing w:after="0" w:line="240" w:lineRule="auto"/>
        <w:ind w:firstLine="709" w:left="0"/>
        <w:jc w:val="right"/>
        <w:rPr>
          <w:rFonts w:ascii="Times New Roman" w:hAnsi="Times New Roman"/>
          <w:sz w:val="28"/>
        </w:rPr>
      </w:pPr>
      <w:r>
        <w:rPr>
          <w:rFonts w:ascii="Times New Roman" w:hAnsi="Times New Roman"/>
          <w:sz w:val="28"/>
        </w:rPr>
        <w:t xml:space="preserve"> «Центр развития энергетического права и </w:t>
      </w:r>
    </w:p>
    <w:p w14:paraId="4B000000">
      <w:pPr>
        <w:spacing w:after="0" w:line="240" w:lineRule="auto"/>
        <w:ind w:firstLine="709" w:left="0"/>
        <w:jc w:val="right"/>
        <w:rPr>
          <w:rFonts w:ascii="Times New Roman" w:hAnsi="Times New Roman"/>
          <w:sz w:val="28"/>
        </w:rPr>
      </w:pPr>
      <w:r>
        <w:rPr>
          <w:rFonts w:ascii="Times New Roman" w:hAnsi="Times New Roman"/>
          <w:sz w:val="28"/>
        </w:rPr>
        <w:t xml:space="preserve">современной правовой науки </w:t>
      </w:r>
    </w:p>
    <w:p w14:paraId="4C000000">
      <w:pPr>
        <w:spacing w:after="0" w:line="240" w:lineRule="auto"/>
        <w:ind w:firstLine="709" w:left="0"/>
        <w:jc w:val="right"/>
        <w:rPr>
          <w:rFonts w:ascii="Times New Roman" w:hAnsi="Times New Roman"/>
          <w:sz w:val="28"/>
        </w:rPr>
      </w:pPr>
      <w:r>
        <w:rPr>
          <w:rFonts w:ascii="Times New Roman" w:hAnsi="Times New Roman"/>
          <w:sz w:val="28"/>
        </w:rPr>
        <w:t xml:space="preserve">имени </w:t>
      </w:r>
      <w:r>
        <w:rPr>
          <w:rFonts w:ascii="Times New Roman" w:hAnsi="Times New Roman"/>
          <w:sz w:val="28"/>
        </w:rPr>
        <w:t>В.А.Мусина</w:t>
      </w:r>
      <w:r>
        <w:rPr>
          <w:rFonts w:ascii="Times New Roman" w:hAnsi="Times New Roman"/>
          <w:sz w:val="28"/>
        </w:rPr>
        <w:t>», оформление, 2022.</w:t>
      </w:r>
    </w:p>
    <w:p w14:paraId="4D000000">
      <w:pPr>
        <w:sectPr>
          <w:footerReference r:id="rId1" w:type="default"/>
          <w:pgSz w:h="16840" w:orient="portrait" w:w="11910"/>
          <w:pgMar w:bottom="1134" w:footer="1038" w:gutter="0" w:header="0" w:left="1701" w:right="851" w:top="1134"/>
          <w:pgNumType w:start="1"/>
          <w:titlePg/>
        </w:sectPr>
      </w:pPr>
    </w:p>
    <w:p w14:paraId="4E000000">
      <w:pPr>
        <w:pStyle w:val="Style_1"/>
        <w:numPr>
          <w:ilvl w:val="0"/>
          <w:numId w:val="1"/>
        </w:numPr>
        <w:tabs>
          <w:tab w:leader="none" w:pos="851" w:val="left"/>
        </w:tabs>
        <w:ind/>
        <w:jc w:val="center"/>
        <w:rPr>
          <w:b w:val="1"/>
        </w:rPr>
      </w:pPr>
      <w:r>
        <w:rPr>
          <w:b w:val="1"/>
        </w:rPr>
        <w:t>Общие положения</w:t>
      </w:r>
    </w:p>
    <w:p w14:paraId="4F000000">
      <w:pPr>
        <w:pStyle w:val="Style_1"/>
        <w:tabs>
          <w:tab w:leader="none" w:pos="851" w:val="left"/>
        </w:tabs>
        <w:ind w:firstLine="0" w:left="1069"/>
      </w:pPr>
    </w:p>
    <w:p w14:paraId="50000000">
      <w:pPr>
        <w:pStyle w:val="Style_1"/>
        <w:tabs>
          <w:tab w:leader="none" w:pos="851" w:val="left"/>
        </w:tabs>
        <w:ind w:firstLine="851" w:left="0"/>
        <w:jc w:val="both"/>
      </w:pPr>
      <w:r>
        <w:t>1.1. Диссертация – это научно-квалификационная работа, отражающая результаты научных исследований автора и представленная им на соискание ученой степени.</w:t>
      </w:r>
    </w:p>
    <w:p w14:paraId="51000000">
      <w:pPr>
        <w:pStyle w:val="Style_1"/>
        <w:tabs>
          <w:tab w:leader="none" w:pos="851" w:val="left"/>
        </w:tabs>
        <w:ind w:firstLine="851" w:left="0"/>
        <w:jc w:val="both"/>
      </w:pPr>
      <w:r>
        <w:t>1.2. Подготовка диссертации является обязательной составной частью образовательной программы высшего образования – программы подготовки научных и научно-педагогических кадров в аспирантуре (далее – программа аспирантуры) и включает в себя несколько этапов. На первом этапе выбирается актуальная тема, затем назначается научный руководитель, под руководством которого готовится диссертация.</w:t>
      </w:r>
    </w:p>
    <w:p w14:paraId="52000000">
      <w:pPr>
        <w:pStyle w:val="Style_1"/>
        <w:tabs>
          <w:tab w:leader="none" w:pos="851" w:val="left"/>
        </w:tabs>
        <w:ind w:firstLine="851" w:left="0"/>
        <w:jc w:val="both"/>
      </w:pPr>
      <w:r>
        <w:t>Диссертация готовится по индивидуальному плану научной деятельности по соответствующим научным специальностям и в соответствии со структурой программ аспирантуры, реализуемым в Центре. Требования к структуре программ подготовки научных и научно-педагогических кадров в аспирантуре определяется приложением к приказу №951 Министерства науки и высшего образования Российской Федерации (далее – ФГТ).</w:t>
      </w:r>
    </w:p>
    <w:p w14:paraId="53000000">
      <w:pPr>
        <w:pStyle w:val="Style_1"/>
        <w:tabs>
          <w:tab w:leader="none" w:pos="851" w:val="left"/>
        </w:tabs>
        <w:ind w:firstLine="851" w:left="0"/>
        <w:jc w:val="both"/>
      </w:pPr>
      <w:r>
        <w:t>1.3. Выполнение диссертации направлено на:</w:t>
      </w:r>
    </w:p>
    <w:p w14:paraId="54000000">
      <w:pPr>
        <w:pStyle w:val="Style_1"/>
        <w:tabs>
          <w:tab w:leader="none" w:pos="851" w:val="left"/>
        </w:tabs>
        <w:ind w:firstLine="851" w:left="0"/>
        <w:jc w:val="both"/>
      </w:pPr>
      <w:r>
        <w:t>- систематизацию и интеграцию теоретических знаний, практических умений для самостоятельной научной деятельности;</w:t>
      </w:r>
    </w:p>
    <w:p w14:paraId="55000000">
      <w:pPr>
        <w:pStyle w:val="Style_1"/>
        <w:tabs>
          <w:tab w:leader="none" w:pos="851" w:val="left"/>
        </w:tabs>
        <w:ind w:firstLine="851" w:left="0"/>
        <w:jc w:val="both"/>
      </w:pPr>
      <w:r>
        <w:t>-   развитие умений анализировать и обобщать информацию;</w:t>
      </w:r>
    </w:p>
    <w:p w14:paraId="56000000">
      <w:pPr>
        <w:pStyle w:val="Style_1"/>
        <w:tabs>
          <w:tab w:leader="none" w:pos="851" w:val="left"/>
        </w:tabs>
        <w:ind w:firstLine="851" w:left="0"/>
        <w:jc w:val="both"/>
      </w:pPr>
      <w:r>
        <w:t>- развитие умений применять полученные знания для решения прикладных задач по научной специальности;</w:t>
      </w:r>
    </w:p>
    <w:p w14:paraId="57000000">
      <w:pPr>
        <w:pStyle w:val="Style_1"/>
        <w:tabs>
          <w:tab w:leader="none" w:pos="851" w:val="left"/>
        </w:tabs>
        <w:ind w:firstLine="851" w:left="0"/>
        <w:jc w:val="both"/>
      </w:pPr>
      <w:r>
        <w:t xml:space="preserve">- получение навыка владения методами научного исследования и представления для публичной дискуссии и защиты научных идей, разработок, рекомендаций и предложений. </w:t>
      </w:r>
    </w:p>
    <w:p w14:paraId="58000000">
      <w:pPr>
        <w:pStyle w:val="Style_1"/>
        <w:numPr>
          <w:ilvl w:val="1"/>
          <w:numId w:val="2"/>
        </w:numPr>
        <w:ind w:firstLine="851" w:left="0"/>
        <w:jc w:val="both"/>
      </w:pPr>
      <w:r>
        <w:t>Обучающийся выполняет диссертацию самостоятельно на основе всестороннего изучения научных данных, научной литературы, личных наблюдений и выводов. На основании выполненных автором исследований в диссертации разрабатываются теоретические положения, совокупность которых можно квалифицировать как научное достижение, либо решается научная проблема, имеющая важное политическое, социально-экономическое, культурное или хозяйственное значение, либо излагаются новые научно обоснованные технические, технологические или иные решения, внедрение которых вносит значительный вклад в развитие страны. Предложенные автором новые решения должны быть аргументированы и оценены по сравнению с другими известными решениями.</w:t>
      </w:r>
    </w:p>
    <w:p w14:paraId="59000000">
      <w:pPr>
        <w:pStyle w:val="Style_1"/>
        <w:numPr>
          <w:ilvl w:val="1"/>
          <w:numId w:val="2"/>
        </w:numPr>
        <w:ind w:firstLine="851" w:left="0"/>
        <w:jc w:val="both"/>
      </w:pPr>
      <w:r>
        <w:t xml:space="preserve">Для подготовки диссертации обучающемуся назначается научный руководитель. Научный руководитель: </w:t>
      </w:r>
    </w:p>
    <w:p w14:paraId="5A000000">
      <w:pPr>
        <w:pStyle w:val="Style_1"/>
        <w:ind w:firstLine="851" w:left="0"/>
        <w:jc w:val="both"/>
      </w:pPr>
      <w:r>
        <w:rPr>
          <w:rFonts w:ascii="Symbol" w:hAnsi="Symbol"/>
        </w:rPr>
        <w:t>-</w:t>
      </w:r>
      <w:r>
        <w:t xml:space="preserve"> в соответствии с темой выдает аспиранту задание на практику для сбора материала; </w:t>
      </w:r>
    </w:p>
    <w:p w14:paraId="5B000000">
      <w:pPr>
        <w:pStyle w:val="Style_1"/>
        <w:ind w:firstLine="851" w:left="0"/>
        <w:jc w:val="both"/>
      </w:pPr>
      <w:r>
        <w:rPr>
          <w:rFonts w:ascii="Symbol" w:hAnsi="Symbol"/>
        </w:rPr>
        <w:t>-</w:t>
      </w:r>
      <w:r>
        <w:t xml:space="preserve"> </w:t>
      </w:r>
      <w:r>
        <w:t xml:space="preserve">разрабатывает вместе с обучающимся календарный график выполнения работы, утверждаемый директором Центра; </w:t>
      </w:r>
    </w:p>
    <w:p w14:paraId="5C000000">
      <w:pPr>
        <w:pStyle w:val="Style_1"/>
        <w:ind w:firstLine="851" w:left="0"/>
        <w:jc w:val="both"/>
      </w:pPr>
      <w:r>
        <w:rPr>
          <w:rFonts w:ascii="Symbol" w:hAnsi="Symbol"/>
        </w:rPr>
        <w:t>-</w:t>
      </w:r>
      <w:r>
        <w:t xml:space="preserve"> рекомендует обучающемуся литературу, справочные и архивные материалы и другие материалы по теме; </w:t>
      </w:r>
    </w:p>
    <w:p w14:paraId="5D000000">
      <w:pPr>
        <w:pStyle w:val="Style_1"/>
        <w:ind w:firstLine="851" w:left="0"/>
        <w:jc w:val="both"/>
      </w:pPr>
      <w:r>
        <w:rPr>
          <w:rFonts w:ascii="Symbol" w:hAnsi="Symbol"/>
        </w:rPr>
        <w:t>-</w:t>
      </w:r>
      <w:r>
        <w:t xml:space="preserve"> проводит систематические консультации; </w:t>
      </w:r>
    </w:p>
    <w:p w14:paraId="5E000000">
      <w:pPr>
        <w:pStyle w:val="Style_1"/>
        <w:ind w:firstLine="851" w:left="0"/>
        <w:jc w:val="both"/>
      </w:pPr>
      <w:r>
        <w:rPr>
          <w:rFonts w:ascii="Symbol" w:hAnsi="Symbol"/>
        </w:rPr>
        <w:t>-</w:t>
      </w:r>
      <w:r>
        <w:t xml:space="preserve"> проверяет выполнение работы.</w:t>
      </w:r>
    </w:p>
    <w:p w14:paraId="5F000000">
      <w:pPr>
        <w:pStyle w:val="Style_1"/>
        <w:ind w:firstLine="851" w:left="0"/>
        <w:jc w:val="both"/>
      </w:pPr>
    </w:p>
    <w:p w14:paraId="60000000">
      <w:pPr>
        <w:pStyle w:val="Style_1"/>
        <w:numPr>
          <w:ilvl w:val="0"/>
          <w:numId w:val="2"/>
        </w:numPr>
        <w:ind/>
        <w:jc w:val="center"/>
        <w:rPr>
          <w:b w:val="1"/>
        </w:rPr>
      </w:pPr>
      <w:r>
        <w:rPr>
          <w:b w:val="1"/>
        </w:rPr>
        <w:t>Рекомендации по выбору темы диссертационного исследования</w:t>
      </w:r>
    </w:p>
    <w:p w14:paraId="61000000">
      <w:pPr>
        <w:pStyle w:val="Style_1"/>
        <w:ind/>
        <w:jc w:val="both"/>
      </w:pPr>
    </w:p>
    <w:p w14:paraId="62000000">
      <w:pPr>
        <w:spacing w:after="0" w:line="240" w:lineRule="auto"/>
        <w:ind w:firstLine="851" w:left="0"/>
        <w:jc w:val="both"/>
        <w:rPr>
          <w:rFonts w:ascii="Times New Roman" w:hAnsi="Times New Roman"/>
          <w:sz w:val="28"/>
        </w:rPr>
      </w:pPr>
      <w:r>
        <w:rPr>
          <w:rFonts w:ascii="Times New Roman" w:hAnsi="Times New Roman"/>
          <w:sz w:val="28"/>
        </w:rPr>
        <w:t>К определению темы диссертационного исследования следует отнестись с большой ответственностью.</w:t>
      </w:r>
    </w:p>
    <w:p w14:paraId="63000000">
      <w:pPr>
        <w:spacing w:after="0" w:line="240" w:lineRule="auto"/>
        <w:ind w:firstLine="851" w:left="0"/>
        <w:jc w:val="both"/>
        <w:rPr>
          <w:rFonts w:ascii="Times New Roman" w:hAnsi="Times New Roman"/>
          <w:sz w:val="28"/>
        </w:rPr>
      </w:pPr>
      <w:r>
        <w:rPr>
          <w:rFonts w:ascii="Times New Roman" w:hAnsi="Times New Roman"/>
          <w:sz w:val="28"/>
        </w:rPr>
        <w:t>Проведение исследования занимает несколько лет, тема должна быть интересна соискателю, которому предстоит решить научные задачи для развития правового регулирования в сфере энергетики. Для дальнейшего развития энергетической отрасли предстоит решить множество задач, при этом задачи развития нормативного правового регулирования справедливо выделяются среди приоритетных. Таким образом, в настоящее время проведение научных исследований по энергетическому праву является уже острой необходимостью, вызванной современными реалиями.</w:t>
      </w:r>
    </w:p>
    <w:p w14:paraId="64000000">
      <w:pPr>
        <w:spacing w:after="0" w:line="240" w:lineRule="auto"/>
        <w:ind w:firstLine="851" w:left="0"/>
        <w:jc w:val="both"/>
        <w:rPr>
          <w:rFonts w:ascii="Times New Roman" w:hAnsi="Times New Roman"/>
          <w:sz w:val="28"/>
        </w:rPr>
      </w:pPr>
      <w:r>
        <w:rPr>
          <w:rFonts w:ascii="Times New Roman" w:hAnsi="Times New Roman"/>
          <w:sz w:val="28"/>
        </w:rPr>
        <w:t>Следует также учитывать критерии, которым должна отвечать диссертация на соискание ученых степеней, предусмотренные Положением о присуждении ученых степеней, утвержденным Постановлением Правительства Российской Федерации от 24 сентября 2013 г. № 842. Согласно п. 9 Положения о присуждении ученых степеней диссертация на соискание ученой степени кандидата наук должна быть научно-квалификационной работой, в которой содержится решение научной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14:paraId="65000000">
      <w:pPr>
        <w:spacing w:after="0" w:line="240" w:lineRule="auto"/>
        <w:ind w:firstLine="851" w:left="0"/>
        <w:jc w:val="both"/>
        <w:rPr>
          <w:rFonts w:ascii="Times New Roman" w:hAnsi="Times New Roman"/>
          <w:sz w:val="28"/>
        </w:rPr>
      </w:pPr>
      <w:r>
        <w:rPr>
          <w:rFonts w:ascii="Times New Roman" w:hAnsi="Times New Roman"/>
          <w:sz w:val="28"/>
        </w:rPr>
        <w:t>В п. 10 Положения о присуждении ученых степеней закреплено, что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14:paraId="66000000">
      <w:pPr>
        <w:spacing w:after="0" w:line="240" w:lineRule="auto"/>
        <w:ind w:firstLine="851" w:left="0"/>
        <w:jc w:val="both"/>
        <w:rPr>
          <w:rFonts w:ascii="Times New Roman" w:hAnsi="Times New Roman"/>
          <w:sz w:val="28"/>
        </w:rPr>
      </w:pPr>
      <w:r>
        <w:rPr>
          <w:rFonts w:ascii="Times New Roman" w:hAnsi="Times New Roman"/>
          <w:sz w:val="28"/>
        </w:rPr>
        <w:t>При выборе темы диссертационного исследования можно руководствоваться основными направлениями правовых исследований по энергетическому праву.</w:t>
      </w:r>
    </w:p>
    <w:p w14:paraId="67000000">
      <w:pPr>
        <w:spacing w:after="0" w:line="240" w:lineRule="auto"/>
        <w:ind w:firstLine="851" w:left="0"/>
        <w:jc w:val="both"/>
        <w:rPr>
          <w:rFonts w:ascii="Times New Roman" w:hAnsi="Times New Roman"/>
          <w:sz w:val="28"/>
        </w:rPr>
      </w:pPr>
      <w:r>
        <w:rPr>
          <w:rFonts w:ascii="Times New Roman" w:hAnsi="Times New Roman"/>
          <w:sz w:val="28"/>
        </w:rPr>
        <w:t xml:space="preserve">В работе, посвященной дальнейшему развитию энергетического права как отрасли права, А.Г. Лисицын-Светланов отмечает, что дать характеристику сфер правового регулирования в сфере энергетики, раскрыть то, что требует исследований в целях совершенствования не только законодательства, но права в целом, можно только в серии масштабных </w:t>
      </w:r>
      <w:r>
        <w:rPr>
          <w:rFonts w:ascii="Times New Roman" w:hAnsi="Times New Roman"/>
          <w:sz w:val="28"/>
        </w:rPr>
        <w:t>исследований</w:t>
      </w:r>
      <w:r>
        <w:rPr>
          <w:rStyle w:val="Style_5_ch"/>
          <w:rFonts w:ascii="Times New Roman" w:hAnsi="Times New Roman"/>
          <w:sz w:val="28"/>
        </w:rPr>
        <w:footnoteReference w:id="1"/>
      </w:r>
      <w:r>
        <w:rPr>
          <w:rFonts w:ascii="Times New Roman" w:hAnsi="Times New Roman"/>
          <w:sz w:val="28"/>
        </w:rPr>
        <w:t xml:space="preserve">. При выборе темы диссертации целесообразно изучить труды М.И. </w:t>
      </w:r>
      <w:r>
        <w:rPr>
          <w:rFonts w:ascii="Times New Roman" w:hAnsi="Times New Roman"/>
          <w:sz w:val="28"/>
        </w:rPr>
        <w:t>Клеандрова</w:t>
      </w:r>
      <w:r>
        <w:rPr>
          <w:rFonts w:ascii="Times New Roman" w:hAnsi="Times New Roman"/>
          <w:sz w:val="28"/>
        </w:rPr>
        <w:t>, посвященные подготовке кандидатской диссертации юриста</w:t>
      </w:r>
      <w:r>
        <w:rPr>
          <w:rStyle w:val="Style_5_ch"/>
          <w:rFonts w:ascii="Times New Roman" w:hAnsi="Times New Roman"/>
          <w:sz w:val="28"/>
        </w:rPr>
        <w:footnoteReference w:id="2"/>
      </w:r>
      <w:r>
        <w:rPr>
          <w:rFonts w:ascii="Times New Roman" w:hAnsi="Times New Roman"/>
          <w:sz w:val="28"/>
        </w:rPr>
        <w:t xml:space="preserve">. </w:t>
      </w:r>
    </w:p>
    <w:p w14:paraId="68000000">
      <w:pPr>
        <w:spacing w:after="0" w:line="240" w:lineRule="auto"/>
        <w:ind w:firstLine="851" w:left="0"/>
        <w:jc w:val="both"/>
        <w:rPr>
          <w:rFonts w:ascii="Times New Roman" w:hAnsi="Times New Roman"/>
          <w:sz w:val="28"/>
        </w:rPr>
      </w:pPr>
      <w:r>
        <w:rPr>
          <w:rFonts w:ascii="Times New Roman" w:hAnsi="Times New Roman"/>
          <w:sz w:val="28"/>
        </w:rPr>
        <w:t>К фундаментальным вопросам энергетического права относятся вопросы правового обеспечения энергетической безопасности; правового регулирования энергетических рынков; правового обеспечения доступа к энергетическим сетям; правового обеспечения энергетического правопорядка.</w:t>
      </w:r>
    </w:p>
    <w:p w14:paraId="69000000">
      <w:pPr>
        <w:spacing w:after="0" w:line="240" w:lineRule="auto"/>
        <w:ind w:firstLine="851" w:left="0"/>
        <w:jc w:val="both"/>
        <w:rPr>
          <w:rFonts w:ascii="Times New Roman" w:hAnsi="Times New Roman"/>
          <w:sz w:val="28"/>
        </w:rPr>
      </w:pPr>
      <w:r>
        <w:rPr>
          <w:rFonts w:ascii="Times New Roman" w:hAnsi="Times New Roman"/>
          <w:sz w:val="28"/>
        </w:rPr>
        <w:t>Ключевые направления правовых исследований включают в себя: правовой режим энергетических ресурсов; правовое режим энергетических объектов; правовое положение субъектов энергетических рынков; договорное регулирование в сфере энергетики; государственное регулирование; государственное управление; государственный контроль (надзор) в сфере энергетики. Указанные направления предполагают исследования правового регулирования общественных отношений на национальном и международном уровнях.</w:t>
      </w:r>
    </w:p>
    <w:p w14:paraId="6A000000">
      <w:pPr>
        <w:spacing w:after="0" w:line="240" w:lineRule="auto"/>
        <w:ind w:firstLine="851" w:left="0"/>
        <w:jc w:val="both"/>
        <w:rPr>
          <w:rFonts w:ascii="Times New Roman" w:hAnsi="Times New Roman"/>
          <w:sz w:val="28"/>
        </w:rPr>
      </w:pPr>
      <w:r>
        <w:rPr>
          <w:rFonts w:ascii="Times New Roman" w:hAnsi="Times New Roman"/>
          <w:sz w:val="28"/>
        </w:rPr>
        <w:t xml:space="preserve">Каждое из указанных ключевых направлений заслуживает того, чтобы быть предметом многих правовых исследований. Так, в рамках исследований правового режима энергетических ресурсов необходимо исследование правового режима различных энергетических ресурсов как товара. В этой связи необходимо рассмотрение вопроса о развитии правового обеспечения внедрения интеллектуальных систем учета не только в отношении электрической энергии, но и в отношении иных энергетических ресурсов. </w:t>
      </w:r>
    </w:p>
    <w:p w14:paraId="6B000000">
      <w:pPr>
        <w:spacing w:after="0" w:line="240" w:lineRule="auto"/>
        <w:ind w:firstLine="851" w:left="0"/>
        <w:jc w:val="both"/>
        <w:rPr>
          <w:rFonts w:ascii="Times New Roman" w:hAnsi="Times New Roman"/>
          <w:sz w:val="28"/>
        </w:rPr>
      </w:pPr>
      <w:r>
        <w:rPr>
          <w:rFonts w:ascii="Times New Roman" w:hAnsi="Times New Roman"/>
          <w:sz w:val="28"/>
        </w:rPr>
        <w:t>Малоизученным на сегодняшний день остаются особенности правового режима энергетических ресурсов как объектов биржевой торговли, объектов отношений по транспортировке, перевозке, хранению.</w:t>
      </w:r>
    </w:p>
    <w:p w14:paraId="6C000000">
      <w:pPr>
        <w:spacing w:after="0" w:line="240" w:lineRule="auto"/>
        <w:ind w:firstLine="851" w:left="0"/>
        <w:jc w:val="both"/>
        <w:rPr>
          <w:rFonts w:ascii="Times New Roman" w:hAnsi="Times New Roman"/>
          <w:sz w:val="28"/>
        </w:rPr>
      </w:pPr>
      <w:r>
        <w:rPr>
          <w:rFonts w:ascii="Times New Roman" w:hAnsi="Times New Roman"/>
          <w:sz w:val="28"/>
        </w:rPr>
        <w:t>Особого внимания заслуживают вопросы правового регулирования использования водорода, правового режима водорода как объекта отношений, входящих в предмет энергетического права.</w:t>
      </w:r>
    </w:p>
    <w:p w14:paraId="6D000000">
      <w:pPr>
        <w:spacing w:after="0" w:line="240" w:lineRule="auto"/>
        <w:ind w:firstLine="851" w:left="0"/>
        <w:jc w:val="both"/>
        <w:rPr>
          <w:rFonts w:ascii="Times New Roman" w:hAnsi="Times New Roman"/>
          <w:sz w:val="28"/>
        </w:rPr>
      </w:pPr>
      <w:r>
        <w:rPr>
          <w:rFonts w:ascii="Times New Roman" w:hAnsi="Times New Roman"/>
          <w:sz w:val="28"/>
        </w:rPr>
        <w:t>Также в целях развития правового регулирования целесообразно исследование особенностей правового режима сжиженного природного газа.</w:t>
      </w:r>
    </w:p>
    <w:p w14:paraId="6E000000">
      <w:pPr>
        <w:spacing w:after="0" w:line="240" w:lineRule="auto"/>
        <w:ind w:firstLine="851" w:left="0"/>
        <w:jc w:val="both"/>
        <w:rPr>
          <w:rFonts w:ascii="Times New Roman" w:hAnsi="Times New Roman"/>
          <w:sz w:val="28"/>
        </w:rPr>
      </w:pPr>
      <w:r>
        <w:rPr>
          <w:rFonts w:ascii="Times New Roman" w:hAnsi="Times New Roman"/>
          <w:sz w:val="28"/>
        </w:rPr>
        <w:t xml:space="preserve">Исследование правового режима энергетической инфраструктуры, энергетических объектов также будет существенным вкладом в развитие правового регулирования. От наличия современной энергетической инфраструктуры, ее безопасного, безаварийного состояния зависит бесперебойное обеспечение энергетическими ресурсами потребителей, физических и юридических лиц. На сегодняшний день предметом исследования были отдельные аспекты использования энергетических </w:t>
      </w:r>
      <w:r>
        <w:rPr>
          <w:rFonts w:ascii="Times New Roman" w:hAnsi="Times New Roman"/>
          <w:sz w:val="28"/>
        </w:rPr>
        <w:t>ресурсов. Современные реалии, проблемы при реализации проектов по строительству энергетических объектов на национальном и международном уровнях обусловливают целесообразность проведения работы по унификации положений, касающихся взаимодействия субъектов отношений по строительству энергетических объектов, защиты интересов субъектов, ответственности за ущерб, причиненный при осуществлении строительства энергетических объектов.</w:t>
      </w:r>
    </w:p>
    <w:p w14:paraId="6F000000">
      <w:pPr>
        <w:spacing w:after="0" w:line="240" w:lineRule="auto"/>
        <w:ind w:firstLine="851" w:left="0"/>
        <w:jc w:val="both"/>
        <w:rPr>
          <w:rFonts w:ascii="Times New Roman" w:hAnsi="Times New Roman"/>
          <w:sz w:val="28"/>
        </w:rPr>
      </w:pPr>
      <w:r>
        <w:rPr>
          <w:rFonts w:ascii="Times New Roman" w:hAnsi="Times New Roman"/>
          <w:sz w:val="28"/>
        </w:rPr>
        <w:t>Будет крайне полезным дальнейшее развитие правового режима линейных энергетических объектов, генерирующих объектов, функционирующих на основании использования возобновляемых источников энергии, объектов, которые используются для хранения энергетических ресурсов.</w:t>
      </w:r>
    </w:p>
    <w:p w14:paraId="70000000">
      <w:pPr>
        <w:spacing w:after="0" w:line="240" w:lineRule="auto"/>
        <w:ind w:firstLine="851" w:left="0"/>
        <w:jc w:val="both"/>
        <w:rPr>
          <w:rFonts w:ascii="Times New Roman" w:hAnsi="Times New Roman"/>
          <w:sz w:val="28"/>
        </w:rPr>
      </w:pPr>
      <w:r>
        <w:rPr>
          <w:rFonts w:ascii="Times New Roman" w:hAnsi="Times New Roman"/>
          <w:sz w:val="28"/>
        </w:rPr>
        <w:t xml:space="preserve">Правовых исследований особенностей правового положения субъектов энергетических рынков на сегодняшний день также пока не очень много. Обеспечение баланса интересов субъектов энергетических рынков наиболее сложная задача. Правовое положение энергетических компаний требует глубокого изучения. Перед энергетическими компаниями поставлены социальные задачи, задачи по развитию энергетической инфраструктуры, при этом в силу организационных форм, цель данных компаний получение прибыли. Сочетание социальной и коммерческой функций энергетических компаний также требует дополнительного изучения. Не менее важным при этом остается правовое положение покупателей энергетических ресурсов, физических и юридических лиц. </w:t>
      </w:r>
    </w:p>
    <w:p w14:paraId="71000000">
      <w:pPr>
        <w:spacing w:after="0" w:line="240" w:lineRule="auto"/>
        <w:ind w:firstLine="851" w:left="0"/>
        <w:jc w:val="both"/>
        <w:rPr>
          <w:rFonts w:ascii="Times New Roman" w:hAnsi="Times New Roman"/>
          <w:sz w:val="28"/>
        </w:rPr>
      </w:pPr>
      <w:r>
        <w:rPr>
          <w:rFonts w:ascii="Times New Roman" w:hAnsi="Times New Roman"/>
          <w:sz w:val="28"/>
        </w:rPr>
        <w:t>Требуется и глубокое изучение договорного регулирования в сфере энергетики. Это касается отношений по добыче, поставке, передаче, транспортировке, хранению и иных отношений, входящих в предмет энергетического права. Для многих отраслей энергетики на сегодняшний день характерно существенное влияние государства на договорное регулирование отношений, включая порядок заключения, условия договоров. Это существенное влияние особенно выражено для таких отраслей энергетики, как электроэнергетика, газовая, тепловая энергетика.</w:t>
      </w:r>
    </w:p>
    <w:p w14:paraId="72000000">
      <w:pPr>
        <w:spacing w:after="0" w:line="240" w:lineRule="auto"/>
        <w:ind w:firstLine="851" w:left="0"/>
        <w:jc w:val="both"/>
        <w:rPr>
          <w:rFonts w:ascii="Times New Roman" w:hAnsi="Times New Roman"/>
          <w:sz w:val="28"/>
        </w:rPr>
      </w:pPr>
      <w:r>
        <w:rPr>
          <w:rFonts w:ascii="Times New Roman" w:hAnsi="Times New Roman"/>
          <w:sz w:val="28"/>
        </w:rPr>
        <w:t>Стратегические задачи развития энергетики обусловливают проведение правовых исследований, в том числе таких направлений государственного регулирования и контроля, как ценообразование, тарифообразование, антимонопольное, налоговое, таможенное регулирование, промышленная безопасность, антитеррористическая защищенность.</w:t>
      </w:r>
    </w:p>
    <w:p w14:paraId="73000000">
      <w:pPr>
        <w:spacing w:after="0" w:line="240" w:lineRule="auto"/>
        <w:ind w:firstLine="851" w:left="0"/>
        <w:jc w:val="both"/>
        <w:rPr>
          <w:rFonts w:ascii="Times New Roman" w:hAnsi="Times New Roman"/>
          <w:sz w:val="28"/>
        </w:rPr>
      </w:pPr>
      <w:r>
        <w:rPr>
          <w:rFonts w:ascii="Times New Roman" w:hAnsi="Times New Roman"/>
          <w:sz w:val="28"/>
        </w:rPr>
        <w:tab/>
      </w:r>
      <w:r>
        <w:rPr>
          <w:rFonts w:ascii="Times New Roman" w:hAnsi="Times New Roman"/>
          <w:sz w:val="28"/>
        </w:rPr>
        <w:t>Представляется необходимым проведение сравнительно-правовых исследований, правового анализа законодательства зарубежных государств.</w:t>
      </w:r>
    </w:p>
    <w:p w14:paraId="74000000">
      <w:pPr>
        <w:spacing w:after="0" w:line="240" w:lineRule="auto"/>
        <w:ind w:firstLine="851" w:left="0"/>
        <w:jc w:val="both"/>
        <w:rPr>
          <w:rFonts w:ascii="Times New Roman" w:hAnsi="Times New Roman"/>
          <w:sz w:val="28"/>
        </w:rPr>
      </w:pPr>
      <w:r>
        <w:rPr>
          <w:rFonts w:ascii="Times New Roman" w:hAnsi="Times New Roman"/>
          <w:sz w:val="28"/>
        </w:rPr>
        <w:tab/>
      </w:r>
      <w:r>
        <w:rPr>
          <w:rFonts w:ascii="Times New Roman" w:hAnsi="Times New Roman"/>
          <w:sz w:val="28"/>
        </w:rPr>
        <w:t>По многим аспектам правового регулирования в сфере энергетики зарубежное законодательство имеет более продолжите</w:t>
      </w:r>
      <w:r>
        <w:rPr>
          <w:rFonts w:ascii="Times New Roman" w:hAnsi="Times New Roman"/>
          <w:sz w:val="28"/>
        </w:rPr>
        <w:t xml:space="preserve">льную историю, а следовательно, </w:t>
      </w:r>
      <w:r>
        <w:rPr>
          <w:rFonts w:ascii="Times New Roman" w:hAnsi="Times New Roman"/>
          <w:sz w:val="28"/>
        </w:rPr>
        <w:t xml:space="preserve">имеется сложившаяся правоприменительная практика, которую также целесообразно проанализировать, чтобы учесть </w:t>
      </w:r>
      <w:r>
        <w:rPr>
          <w:rFonts w:ascii="Times New Roman" w:hAnsi="Times New Roman"/>
          <w:sz w:val="28"/>
        </w:rPr>
        <w:t>результаты правоприменительной практики при формировании предложений по дальнейшему развитию правового регулирования.</w:t>
      </w:r>
    </w:p>
    <w:p w14:paraId="75000000">
      <w:pPr>
        <w:spacing w:after="0" w:line="240" w:lineRule="auto"/>
        <w:ind w:firstLine="851" w:left="0"/>
        <w:jc w:val="both"/>
        <w:rPr>
          <w:rFonts w:ascii="Times New Roman" w:hAnsi="Times New Roman"/>
          <w:sz w:val="28"/>
        </w:rPr>
      </w:pPr>
      <w:r>
        <w:rPr>
          <w:rFonts w:ascii="Times New Roman" w:hAnsi="Times New Roman"/>
          <w:sz w:val="28"/>
        </w:rPr>
        <w:tab/>
      </w:r>
      <w:r>
        <w:rPr>
          <w:rFonts w:ascii="Times New Roman" w:hAnsi="Times New Roman"/>
          <w:sz w:val="28"/>
        </w:rPr>
        <w:t>Определяясь с выбором темы диссертационного исследования, целесообразно сформулировать, что будет являться объектом, предметом исследования, какие ставятся цели и задачи, какие будут использоваться методы исследования. Необходимо обосновать актуальность проводимого исследования. Целесообразно проанализировать имеющиеся научные труды отечественных и зарубежных ученых, осмыслить задачи развития правового регулирования в рассматриваемой сфере. Для этого следует использовать электронные библиотечные ресурсы, информационные правовые базы, размещенные в открытом доступе аналитические отчеты, позиции экспертного сообщества, рекомендации, принимаемые Комитетом Государственной Думы по энергетике, материалы, размещенные на сайтах Министерства энергетики Российской Федерации, иных государственных органов, уполномоченных организаций, локальные акты энергетических компаний, позиции актов Конституционного Суда Российской Федерации, Верховного Суда Российской Федерации, обзоры судебной практики, зарубежное законодательство.</w:t>
      </w:r>
    </w:p>
    <w:p w14:paraId="76000000">
      <w:pPr>
        <w:spacing w:after="0" w:line="240" w:lineRule="auto"/>
        <w:ind w:firstLine="851" w:left="0"/>
        <w:jc w:val="both"/>
        <w:rPr>
          <w:rFonts w:ascii="Times New Roman" w:hAnsi="Times New Roman"/>
          <w:sz w:val="28"/>
        </w:rPr>
      </w:pPr>
      <w:r>
        <w:rPr>
          <w:rFonts w:ascii="Times New Roman" w:hAnsi="Times New Roman"/>
          <w:sz w:val="28"/>
        </w:rPr>
        <w:tab/>
      </w:r>
      <w:r>
        <w:rPr>
          <w:rFonts w:ascii="Times New Roman" w:hAnsi="Times New Roman"/>
          <w:sz w:val="28"/>
        </w:rPr>
        <w:t>Выбрав тему диссертационного исследования, аспирантам необходимо совместно с научным руководителем тщательно продумать план диссертационного исследования — структуру работы, которая должна способствовать решению поставленных задач и достижению цели исследования.</w:t>
      </w:r>
    </w:p>
    <w:p w14:paraId="77000000">
      <w:pPr>
        <w:spacing w:after="0" w:line="240" w:lineRule="auto"/>
        <w:ind w:firstLine="851" w:left="0"/>
        <w:jc w:val="both"/>
        <w:rPr>
          <w:rFonts w:ascii="Times New Roman" w:hAnsi="Times New Roman"/>
          <w:sz w:val="28"/>
        </w:rPr>
      </w:pPr>
    </w:p>
    <w:p w14:paraId="78000000">
      <w:pPr>
        <w:pStyle w:val="Style_6"/>
        <w:numPr>
          <w:ilvl w:val="0"/>
          <w:numId w:val="3"/>
        </w:numPr>
        <w:spacing w:after="0" w:line="240" w:lineRule="auto"/>
        <w:ind/>
        <w:jc w:val="center"/>
        <w:rPr>
          <w:rFonts w:ascii="Times New Roman" w:hAnsi="Times New Roman"/>
          <w:b w:val="1"/>
          <w:sz w:val="28"/>
        </w:rPr>
      </w:pPr>
      <w:r>
        <w:rPr>
          <w:rFonts w:ascii="Times New Roman" w:hAnsi="Times New Roman"/>
          <w:b w:val="1"/>
          <w:sz w:val="28"/>
        </w:rPr>
        <w:t>Оформление диссертации</w:t>
      </w:r>
    </w:p>
    <w:p w14:paraId="79000000">
      <w:pPr>
        <w:pStyle w:val="Style_6"/>
        <w:spacing w:after="0" w:line="240" w:lineRule="auto"/>
        <w:ind w:firstLine="0" w:left="450"/>
        <w:rPr>
          <w:rFonts w:ascii="Times New Roman" w:hAnsi="Times New Roman"/>
          <w:b w:val="1"/>
          <w:sz w:val="28"/>
        </w:rPr>
      </w:pPr>
    </w:p>
    <w:p w14:paraId="7A000000">
      <w:pPr>
        <w:pStyle w:val="Style_1"/>
        <w:numPr>
          <w:ilvl w:val="1"/>
          <w:numId w:val="3"/>
        </w:numPr>
        <w:ind w:firstLine="851" w:left="0"/>
        <w:jc w:val="both"/>
        <w:rPr>
          <w:b w:val="1"/>
        </w:rPr>
      </w:pPr>
      <w:r>
        <w:t>Текст диссертации должен быть</w:t>
      </w:r>
      <w:r>
        <w:t xml:space="preserve"> оформлен в соответствии с ГОСТ Р 7.0.11-2011. Предлагается ознакомиться с ГОСТом самостоятельно, особенно в области составления библиографического списка, написания таблиц и др. Ниже представлены основные правила по оформлению работы.</w:t>
      </w:r>
    </w:p>
    <w:p w14:paraId="7B000000">
      <w:pPr>
        <w:pStyle w:val="Style_1"/>
        <w:numPr>
          <w:ilvl w:val="1"/>
          <w:numId w:val="3"/>
        </w:numPr>
        <w:ind w:firstLine="851" w:left="0"/>
        <w:jc w:val="both"/>
        <w:rPr>
          <w:b w:val="1"/>
        </w:rPr>
      </w:pPr>
      <w:r>
        <w:t>Титульный лист – первая страница диссертации, служит источником информации, необходимой дл</w:t>
      </w:r>
      <w:r>
        <w:t>я обработки и поиска документа.</w:t>
      </w:r>
    </w:p>
    <w:p w14:paraId="7C000000">
      <w:pPr>
        <w:pStyle w:val="Style_1"/>
        <w:numPr>
          <w:ilvl w:val="1"/>
          <w:numId w:val="3"/>
        </w:numPr>
        <w:ind w:firstLine="851" w:left="0"/>
        <w:jc w:val="both"/>
        <w:rPr>
          <w:b w:val="1"/>
        </w:rPr>
      </w:pPr>
      <w:r>
        <w:t>Оглавление – перечень основных частей НКР с указанием страниц, на которые их помещают. Заголовки в оглавлении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w:t>
      </w:r>
      <w:r>
        <w:t>.</w:t>
      </w:r>
    </w:p>
    <w:p w14:paraId="7D000000">
      <w:pPr>
        <w:pStyle w:val="Style_1"/>
        <w:numPr>
          <w:ilvl w:val="1"/>
          <w:numId w:val="3"/>
        </w:numPr>
        <w:ind w:firstLine="851" w:left="0"/>
        <w:jc w:val="both"/>
        <w:rPr>
          <w:b w:val="1"/>
        </w:rPr>
      </w:pPr>
      <w:r>
        <w:t xml:space="preserve"> Основной текст должен быть разделен на главы и параграфы или разделы и подразделы, которые нумеруют арабскими цифрами. Каждую главу (раздел) диссертации начинают с новой страницы. </w:t>
      </w:r>
      <w:r>
        <w:rPr>
          <w:b w:val="1"/>
        </w:rPr>
        <w:t xml:space="preserve"> </w:t>
      </w:r>
      <w:r>
        <w:t>Заголовки располагают посередине страницы без точки на конце. Переносить слова в заголовке не допускается. Заголовки отделяют от текста сверху и снизу тремя интервалами.</w:t>
      </w:r>
    </w:p>
    <w:p w14:paraId="7E000000">
      <w:pPr>
        <w:pStyle w:val="Style_1"/>
        <w:numPr>
          <w:ilvl w:val="1"/>
          <w:numId w:val="3"/>
        </w:numPr>
        <w:ind w:firstLine="851" w:left="0"/>
        <w:jc w:val="both"/>
      </w:pPr>
      <w:r>
        <w:t>Цитата обязательно должна быть заключена в кавычки и сопровождаться сноской на источник, из которого она заимствована, с указанием страницы. Цитирование осуществляется по авторским произведениям, и только в том случае, если источник недоступен или труднодоступен, возможна ссылка на работы других авторов, ссылавшихся на необходимый для выпускника материал (например, Цит. по</w:t>
      </w:r>
      <w:r>
        <w:t xml:space="preserve"> ….</w:t>
      </w:r>
      <w:r>
        <w:t xml:space="preserve">); Важно проверять точность соответствия цитаты источнику. </w:t>
      </w:r>
    </w:p>
    <w:p w14:paraId="7F000000">
      <w:pPr>
        <w:pStyle w:val="Style_1"/>
        <w:numPr>
          <w:ilvl w:val="1"/>
          <w:numId w:val="3"/>
        </w:numPr>
        <w:ind w:firstLine="851" w:left="0"/>
        <w:jc w:val="both"/>
      </w:pPr>
      <w:r>
        <w:t>Использование сносок является обязательным. В случае ссылок на цифровой и статистический материал. При упоминании в тексте работ и исследований тех или иных авторов. В случае использования источников Интернет должен быть указан полный адрес источника, номер листа цитирования и дата обращения.</w:t>
      </w:r>
    </w:p>
    <w:p w14:paraId="80000000">
      <w:pPr>
        <w:pStyle w:val="Style_1"/>
        <w:ind w:firstLine="0" w:left="851"/>
        <w:jc w:val="both"/>
      </w:pPr>
    </w:p>
    <w:p w14:paraId="81000000">
      <w:pPr>
        <w:pStyle w:val="Style_6"/>
        <w:numPr>
          <w:ilvl w:val="0"/>
          <w:numId w:val="3"/>
        </w:numPr>
        <w:spacing w:after="0" w:line="240" w:lineRule="auto"/>
        <w:ind/>
        <w:jc w:val="center"/>
        <w:rPr>
          <w:rFonts w:ascii="Times New Roman" w:hAnsi="Times New Roman"/>
          <w:b w:val="1"/>
          <w:sz w:val="28"/>
        </w:rPr>
      </w:pPr>
      <w:r>
        <w:rPr>
          <w:rFonts w:ascii="Times New Roman" w:hAnsi="Times New Roman"/>
          <w:b w:val="1"/>
          <w:sz w:val="28"/>
        </w:rPr>
        <w:t>Подготовка к защите диссертации</w:t>
      </w:r>
    </w:p>
    <w:p w14:paraId="82000000">
      <w:pPr>
        <w:pStyle w:val="Style_6"/>
        <w:spacing w:after="0" w:line="240" w:lineRule="auto"/>
        <w:ind w:firstLine="0" w:left="450"/>
        <w:rPr>
          <w:rFonts w:ascii="Times New Roman" w:hAnsi="Times New Roman"/>
          <w:b w:val="1"/>
          <w:sz w:val="28"/>
        </w:rPr>
      </w:pPr>
    </w:p>
    <w:p w14:paraId="83000000">
      <w:pPr>
        <w:spacing w:after="0" w:line="240" w:lineRule="auto"/>
        <w:ind w:firstLine="851" w:left="0"/>
        <w:jc w:val="both"/>
        <w:rPr>
          <w:rFonts w:ascii="Times New Roman" w:hAnsi="Times New Roman"/>
          <w:sz w:val="28"/>
        </w:rPr>
      </w:pPr>
      <w:r>
        <w:rPr>
          <w:rFonts w:ascii="Times New Roman" w:hAnsi="Times New Roman"/>
          <w:sz w:val="28"/>
        </w:rPr>
        <w:t xml:space="preserve">Ученые степени присуждаются советом по защите диссертаций на соискание ученой степени кандидата наук, на соискание ученой степени доктора наук по результатам публичной защиты диссертации. </w:t>
      </w:r>
    </w:p>
    <w:p w14:paraId="84000000">
      <w:pPr>
        <w:spacing w:after="0" w:line="240" w:lineRule="auto"/>
        <w:ind w:firstLine="851" w:left="0"/>
        <w:jc w:val="both"/>
        <w:rPr>
          <w:rFonts w:ascii="Times New Roman" w:hAnsi="Times New Roman"/>
          <w:sz w:val="28"/>
        </w:rPr>
      </w:pPr>
      <w:r>
        <w:rPr>
          <w:rFonts w:ascii="Times New Roman" w:hAnsi="Times New Roman"/>
          <w:sz w:val="28"/>
        </w:rPr>
        <w:t xml:space="preserve">Приказом  Минобрнауки России от 10.11.2017 N 1093 утверждено  Положение о совете по защите диссертаций на соискание ученой степени кандидата наук, на соискание ученой степени доктора наук </w:t>
      </w:r>
      <w:r>
        <w:rPr>
          <w:rStyle w:val="Style_5_ch"/>
          <w:rFonts w:ascii="Times New Roman" w:hAnsi="Times New Roman"/>
          <w:sz w:val="28"/>
        </w:rPr>
        <w:footnoteReference w:id="3"/>
      </w:r>
      <w:r>
        <w:rPr>
          <w:rFonts w:ascii="Times New Roman" w:hAnsi="Times New Roman"/>
          <w:sz w:val="28"/>
        </w:rPr>
        <w:t xml:space="preserve"> </w:t>
      </w:r>
      <w:r>
        <w:rPr>
          <w:rFonts w:ascii="Times New Roman" w:hAnsi="Times New Roman"/>
          <w:sz w:val="28"/>
        </w:rPr>
        <w:t xml:space="preserve">Положение определяет требования к организациям, на базе которых могут создаваться советы по защите диссертаций на соискание ученой степени кандидата наук, на соискание ученой степени доктора наук (диссертационный совет), требования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а также требования к оформлению диссертаций на соискание ученых степеней (диссертации). </w:t>
      </w:r>
    </w:p>
    <w:p w14:paraId="85000000">
      <w:pPr>
        <w:spacing w:after="0" w:line="240" w:lineRule="auto"/>
        <w:ind w:firstLine="851" w:left="0"/>
        <w:jc w:val="both"/>
        <w:rPr>
          <w:rFonts w:ascii="Times New Roman" w:hAnsi="Times New Roman"/>
          <w:sz w:val="28"/>
        </w:rPr>
      </w:pPr>
      <w:r>
        <w:rPr>
          <w:rFonts w:ascii="Times New Roman" w:hAnsi="Times New Roman"/>
          <w:sz w:val="28"/>
        </w:rPr>
        <w:t>Требования к предоставлению диссертации, а также основания</w:t>
      </w:r>
      <w:r>
        <w:rPr>
          <w:rFonts w:ascii="Times New Roman" w:hAnsi="Times New Roman"/>
          <w:sz w:val="28"/>
        </w:rPr>
        <w:t xml:space="preserve"> </w:t>
      </w:r>
      <w:r>
        <w:rPr>
          <w:rFonts w:ascii="Times New Roman" w:hAnsi="Times New Roman"/>
          <w:sz w:val="28"/>
        </w:rPr>
        <w:t xml:space="preserve">для отказа в приеме диссертации к защите установлены в Положении о присуждении ученых степеней, утвержденном Постановлением Правительства Российской Федерации от 24.09.2013 N 842. </w:t>
      </w:r>
    </w:p>
    <w:p w14:paraId="86000000">
      <w:pPr>
        <w:spacing w:after="0" w:line="240" w:lineRule="auto"/>
        <w:ind w:firstLine="851" w:left="0"/>
        <w:jc w:val="both"/>
        <w:rPr>
          <w:rFonts w:ascii="Times New Roman" w:hAnsi="Times New Roman"/>
          <w:sz w:val="28"/>
        </w:rPr>
      </w:pPr>
      <w:r>
        <w:rPr>
          <w:rFonts w:ascii="Times New Roman" w:hAnsi="Times New Roman"/>
          <w:sz w:val="28"/>
        </w:rPr>
        <w:t xml:space="preserve">Необходимо учитывать, что положение </w:t>
      </w:r>
      <w:r>
        <w:rPr>
          <w:rFonts w:ascii="Times New Roman" w:hAnsi="Times New Roman"/>
          <w:sz w:val="28"/>
        </w:rPr>
        <w:t xml:space="preserve">о совете по защите диссертаций на соискание ученой степени кандидата наук, на соискание ученой степени доктора наук  </w:t>
      </w:r>
      <w:r>
        <w:rPr>
          <w:rFonts w:ascii="Times New Roman" w:hAnsi="Times New Roman"/>
          <w:sz w:val="28"/>
        </w:rPr>
        <w:t xml:space="preserve">не распространяется на диссертационные советы, создаваемые в соответствии с </w:t>
      </w:r>
      <w:r>
        <w:rPr>
          <w:rFonts w:ascii="Times New Roman" w:hAnsi="Times New Roman"/>
          <w:sz w:val="28"/>
        </w:rPr>
        <w:fldChar w:fldCharType="begin"/>
      </w:r>
      <w:r>
        <w:rPr>
          <w:rFonts w:ascii="Times New Roman" w:hAnsi="Times New Roman"/>
          <w:sz w:val="28"/>
        </w:rPr>
        <w:instrText>HYPERLINK "https://login.consultant.ru/link/?req=doc&amp;base=LAW&amp;n=378035&amp;dst=351&amp;field=134&amp;date=03.04.2022"</w:instrText>
      </w:r>
      <w:r>
        <w:rPr>
          <w:rFonts w:ascii="Times New Roman" w:hAnsi="Times New Roman"/>
          <w:sz w:val="28"/>
        </w:rPr>
        <w:fldChar w:fldCharType="separate"/>
      </w:r>
      <w:r>
        <w:rPr>
          <w:rFonts w:ascii="Times New Roman" w:hAnsi="Times New Roman"/>
          <w:sz w:val="28"/>
        </w:rPr>
        <w:t>пунктом 3.1 статьи 4</w:t>
      </w:r>
      <w:r>
        <w:rPr>
          <w:rFonts w:ascii="Times New Roman" w:hAnsi="Times New Roman"/>
          <w:sz w:val="28"/>
        </w:rPr>
        <w:fldChar w:fldCharType="end"/>
      </w:r>
      <w:r>
        <w:rPr>
          <w:rFonts w:ascii="Times New Roman" w:hAnsi="Times New Roman"/>
          <w:sz w:val="28"/>
        </w:rPr>
        <w:t xml:space="preserve"> Федерального </w:t>
      </w:r>
      <w:r>
        <w:rPr>
          <w:rFonts w:ascii="Times New Roman" w:hAnsi="Times New Roman"/>
          <w:sz w:val="28"/>
        </w:rPr>
        <w:t xml:space="preserve">закона от 23 августа 1996 г. N 127-ФЗ </w:t>
      </w:r>
      <w:r>
        <w:rPr>
          <w:rFonts w:ascii="Times New Roman" w:hAnsi="Times New Roman"/>
          <w:sz w:val="28"/>
        </w:rPr>
        <w:t>«</w:t>
      </w:r>
      <w:r>
        <w:rPr>
          <w:rFonts w:ascii="Times New Roman" w:hAnsi="Times New Roman"/>
          <w:sz w:val="28"/>
        </w:rPr>
        <w:t>О науке и государствен</w:t>
      </w:r>
      <w:r>
        <w:rPr>
          <w:rFonts w:ascii="Times New Roman" w:hAnsi="Times New Roman"/>
          <w:sz w:val="28"/>
        </w:rPr>
        <w:t>ной научно-технической политике»</w:t>
      </w:r>
      <w:r>
        <w:rPr>
          <w:rFonts w:ascii="Times New Roman" w:hAnsi="Times New Roman"/>
          <w:sz w:val="28"/>
        </w:rPr>
        <w:t xml:space="preserve">. </w:t>
      </w:r>
    </w:p>
    <w:p w14:paraId="87000000">
      <w:pPr>
        <w:spacing w:after="0" w:line="240" w:lineRule="auto"/>
        <w:ind w:firstLine="851" w:left="0"/>
        <w:jc w:val="both"/>
        <w:rPr>
          <w:rFonts w:ascii="Times New Roman" w:hAnsi="Times New Roman"/>
          <w:sz w:val="28"/>
        </w:rPr>
      </w:pPr>
      <w:r>
        <w:rPr>
          <w:rFonts w:ascii="Times New Roman" w:hAnsi="Times New Roman"/>
          <w:sz w:val="28"/>
        </w:rPr>
        <w:t>В настоящее время в соответствии с пунктом 3.1 стать 4 Федерального закона от 23.08.1996 № 127-ФЗ «О науке и государственной научно-технической политике» уже более 27 научных и образовательных организаций</w:t>
      </w:r>
      <w:r>
        <w:rPr>
          <w:rStyle w:val="Style_5_ch"/>
          <w:rFonts w:ascii="Times New Roman" w:hAnsi="Times New Roman"/>
          <w:sz w:val="28"/>
        </w:rPr>
        <w:footnoteReference w:id="4"/>
      </w:r>
      <w:r>
        <w:rPr>
          <w:rFonts w:ascii="Times New Roman" w:hAnsi="Times New Roman"/>
          <w:sz w:val="28"/>
        </w:rPr>
        <w:t xml:space="preserve"> получили право устанавливать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положение о совете по защите диссертаций на соискание ученой степени кандидата наук, на соискание ученой степени доктора наук, формы дипломов об ученых степенях, порядок их оформления и выдачи и др.</w:t>
      </w:r>
    </w:p>
    <w:p w14:paraId="88000000">
      <w:pPr>
        <w:spacing w:after="0" w:line="240" w:lineRule="auto"/>
        <w:ind w:firstLine="851" w:left="0"/>
        <w:jc w:val="both"/>
        <w:rPr>
          <w:rFonts w:ascii="Times New Roman" w:hAnsi="Times New Roman"/>
          <w:sz w:val="28"/>
        </w:rPr>
      </w:pPr>
      <w:r>
        <w:rPr>
          <w:rFonts w:ascii="Times New Roman" w:hAnsi="Times New Roman"/>
          <w:sz w:val="28"/>
        </w:rPr>
        <w:t>Представляется возможным обратить внимание на соответствующий задачам развития науки порядок присуждения ученых степеней, действующий в Санкт-Петербургском государственном университете.</w:t>
      </w:r>
    </w:p>
    <w:p w14:paraId="89000000">
      <w:pPr>
        <w:spacing w:after="0" w:line="240" w:lineRule="auto"/>
        <w:ind w:firstLine="851" w:left="0"/>
        <w:jc w:val="both"/>
        <w:rPr>
          <w:rFonts w:ascii="Times New Roman" w:hAnsi="Times New Roman"/>
          <w:sz w:val="28"/>
        </w:rPr>
      </w:pPr>
      <w:r>
        <w:rPr>
          <w:rFonts w:ascii="Times New Roman" w:hAnsi="Times New Roman"/>
          <w:sz w:val="28"/>
        </w:rPr>
        <w:t>Подробно ознакомиться с данным порядком можно на сайте Санкт-Петербургского государственного университета</w:t>
      </w:r>
      <w:r>
        <w:rPr>
          <w:rStyle w:val="Style_5_ch"/>
          <w:rFonts w:ascii="Times New Roman" w:hAnsi="Times New Roman"/>
          <w:sz w:val="28"/>
        </w:rPr>
        <w:footnoteReference w:id="5"/>
      </w:r>
      <w:r>
        <w:rPr>
          <w:rFonts w:ascii="Times New Roman" w:hAnsi="Times New Roman"/>
          <w:sz w:val="28"/>
        </w:rPr>
        <w:t>. Также на сайте Санкт-Петербургского государственного университета размещено Положение о совете по защите диссертаций на соискание ученой степени кандидата наук (Кандидата наук СПбГУ), на соискание ученой степени доктора наук (Доктора наук СПбГУ).</w:t>
      </w:r>
      <w:r>
        <w:rPr>
          <w:rStyle w:val="Style_5_ch"/>
          <w:rFonts w:ascii="Times New Roman" w:hAnsi="Times New Roman"/>
          <w:sz w:val="28"/>
        </w:rPr>
        <w:footnoteReference w:id="6"/>
      </w:r>
    </w:p>
    <w:p w14:paraId="8A000000">
      <w:pPr>
        <w:spacing w:line="360" w:lineRule="auto"/>
        <w:ind w:firstLine="708" w:left="0"/>
        <w:jc w:val="both"/>
        <w:rPr>
          <w:rFonts w:ascii="Times New Roman" w:hAnsi="Times New Roman"/>
          <w:sz w:val="28"/>
        </w:rPr>
      </w:pPr>
    </w:p>
    <w:p w14:paraId="8B000000">
      <w:pPr>
        <w:spacing w:line="360" w:lineRule="auto"/>
        <w:ind/>
        <w:jc w:val="both"/>
        <w:rPr>
          <w:rFonts w:ascii="Times New Roman" w:hAnsi="Times New Roman"/>
          <w:sz w:val="28"/>
        </w:rPr>
      </w:pPr>
      <w:r>
        <w:rPr>
          <w:rFonts w:ascii="Times New Roman" w:hAnsi="Times New Roman"/>
          <w:sz w:val="28"/>
        </w:rPr>
        <w:tab/>
      </w:r>
    </w:p>
    <w:p w14:paraId="8C000000">
      <w:pPr>
        <w:spacing w:line="360" w:lineRule="auto"/>
        <w:ind/>
        <w:jc w:val="both"/>
        <w:rPr>
          <w:rFonts w:ascii="Times New Roman" w:hAnsi="Times New Roman"/>
          <w:sz w:val="28"/>
        </w:rPr>
      </w:pPr>
    </w:p>
    <w:p w14:paraId="8D000000">
      <w:pPr>
        <w:spacing w:line="360" w:lineRule="auto"/>
        <w:ind/>
        <w:jc w:val="both"/>
        <w:rPr>
          <w:rFonts w:ascii="Times New Roman" w:hAnsi="Times New Roman"/>
          <w:sz w:val="28"/>
        </w:rPr>
      </w:pPr>
    </w:p>
    <w:p w14:paraId="8E000000">
      <w:pPr>
        <w:spacing w:line="360" w:lineRule="auto"/>
        <w:ind/>
        <w:jc w:val="both"/>
        <w:rPr>
          <w:rFonts w:ascii="Times New Roman" w:hAnsi="Times New Roman"/>
          <w:sz w:val="28"/>
        </w:rPr>
      </w:pPr>
    </w:p>
    <w:p w14:paraId="8F000000">
      <w:pPr>
        <w:spacing w:line="360" w:lineRule="auto"/>
        <w:ind/>
        <w:jc w:val="both"/>
        <w:rPr>
          <w:rFonts w:ascii="Times New Roman" w:hAnsi="Times New Roman"/>
          <w:sz w:val="28"/>
        </w:rPr>
      </w:pPr>
    </w:p>
    <w:p w14:paraId="90000000">
      <w:pPr>
        <w:rPr>
          <w:rFonts w:ascii="Times New Roman" w:hAnsi="Times New Roman"/>
          <w:sz w:val="28"/>
        </w:rPr>
      </w:pPr>
    </w:p>
    <w:sectPr>
      <w:footerReference r:id="rId2" w:type="default"/>
      <w:pgSz w:h="16838" w:orient="portrait" w:w="11906"/>
      <w:pgMar w:bottom="1134" w:footer="708" w:gutter="0" w:header="708" w:left="1701" w:right="850" w:top="1134"/>
    </w:sectPr>
  </w:body>
</w:document>
</file>

<file path=word/endnotes.xml><?xml version="1.0" encoding="utf-8"?>
<w:end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endnote w:id="-1" w:type="separator">
    <w:p>
      <w:r>
        <w:separator/>
      </w:r>
    </w:p>
  </w:endnote>
  <w:endnote w:id="0" w:type="continuationSeparator">
    <w:p>
      <w:r>
        <w:continuationSeparator/>
      </w:r>
    </w:p>
  </w:endnote>
</w:endnotes>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spacing w:line="12" w:lineRule="auto"/>
      <w:ind/>
      <w:rPr>
        <w:sz w:val="20"/>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114300" distR="114300" distT="0" layoutInCell="true" locked="false" relativeHeight="251658240" simplePos="false">
              <wp:simplePos x="0" y="0"/>
              <wp:positionH relativeFrom="page">
                <wp:posOffset>3891280</wp:posOffset>
              </wp:positionH>
              <wp:positionV relativeFrom="page">
                <wp:posOffset>9874250</wp:posOffset>
              </wp:positionV>
              <wp:extent cx="236220" cy="201930"/>
              <wp:wrapNone/>
              <wp:docPr hidden="false" id="1" name="Picture 1"/>
              <a:graphic>
                <a:graphicData uri="http://schemas.microsoft.com/office/word/2010/wordprocessingShape">
                  <wps:wsp>
                    <wps:cNvSpPr txBox="true"/>
                    <wps:spPr>
                      <a:xfrm flipH="false" flipV="false" rot="0">
                        <a:off x="0" y="0"/>
                        <a:ext cx="236220" cy="201930"/>
                      </a:xfrm>
                      <a:prstGeom prst="rect">
                        <a:avLst/>
                      </a:prstGeom>
                      <a:noFill/>
                      <a:ln>
                        <a:noFill/>
                      </a:ln>
                    </wps:spPr>
                    <wps:txbx>
                      <w:txbxContent>
                        <w:p w14:paraId="02000000">
                          <w:pPr>
                            <w:pStyle w:val="Style_2"/>
                            <w:spacing w:before="22"/>
                            <w:ind w:firstLine="0" w:left="60"/>
                            <w:rPr>
                              <w:rFonts w:asciiTheme="minorAscii" w:hAnsiTheme="minorHAnsi"/>
                              <w:color w:val="000000"/>
                              <w:spacing w:val="0"/>
                              <w:sz w:val="24"/>
                            </w:rPr>
                          </w:pPr>
                        </w:p>
                      </w:txbxContent>
                    </wps:txbx>
                    <wps:bodyPr anchor="t" bIns="0" lIns="0" rIns="0" tIns="0" vert="horz"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3"/>
      <w:ind/>
      <w:jc w:val="center"/>
    </w:pPr>
  </w:p>
  <w:p w14:paraId="04000000">
    <w:pPr>
      <w:pStyle w:val="Style_3"/>
    </w:pPr>
  </w:p>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91000000">
      <w:pPr>
        <w:pStyle w:val="Style_19"/>
        <w:ind/>
        <w:jc w:val="both"/>
      </w:pPr>
      <w:r>
        <w:rPr>
          <w:vertAlign w:val="superscript"/>
        </w:rPr>
        <w:footnoteRef/>
      </w:r>
      <w:r>
        <w:rPr>
          <w:sz w:val="24"/>
        </w:rPr>
        <w:t xml:space="preserve"> </w:t>
      </w:r>
      <w:r>
        <w:rPr>
          <w:sz w:val="24"/>
        </w:rPr>
        <w:t>Лисицын-Светланов А.Г. Энергетическое право: задачи дальнейшего развития отрасли// Сборник материалов международной научно-практической конференции. М.: Издательство «Юрист».2013.С. 11.</w:t>
      </w:r>
    </w:p>
  </w:footnote>
  <w:footnote w:id="2">
    <w:p w14:paraId="92000000">
      <w:pPr>
        <w:pStyle w:val="Style_19"/>
        <w:ind/>
        <w:jc w:val="both"/>
      </w:pPr>
      <w:r>
        <w:rPr>
          <w:vertAlign w:val="superscript"/>
        </w:rPr>
        <w:footnoteRef/>
      </w:r>
      <w:r>
        <w:rPr>
          <w:sz w:val="24"/>
        </w:rPr>
        <w:t xml:space="preserve"> См. подр.: Клеандров М.И. Кандидатская диссертация юриста. Первые шаги исследователя. М.: Щербинская типография</w:t>
      </w:r>
      <w:r>
        <w:rPr>
          <w:sz w:val="24"/>
        </w:rPr>
        <w:t>, 2003; Клеанд</w:t>
      </w:r>
      <w:r>
        <w:rPr>
          <w:sz w:val="24"/>
        </w:rPr>
        <w:t>ров М.И. Кандидатская диссертация юриста: выбор и разработка темы.</w:t>
      </w:r>
      <w:r>
        <w:rPr>
          <w:sz w:val="24"/>
        </w:rPr>
        <w:t xml:space="preserve"> </w:t>
      </w:r>
      <w:r>
        <w:rPr>
          <w:sz w:val="24"/>
        </w:rPr>
        <w:t>М.</w:t>
      </w:r>
      <w:r>
        <w:rPr>
          <w:sz w:val="24"/>
        </w:rPr>
        <w:t xml:space="preserve">: </w:t>
      </w:r>
      <w:r>
        <w:rPr>
          <w:sz w:val="24"/>
        </w:rPr>
        <w:t>Щербинская типография</w:t>
      </w:r>
      <w:r>
        <w:rPr>
          <w:sz w:val="24"/>
        </w:rPr>
        <w:t xml:space="preserve">, </w:t>
      </w:r>
      <w:r>
        <w:rPr>
          <w:sz w:val="24"/>
        </w:rPr>
        <w:t>2007.</w:t>
      </w:r>
    </w:p>
  </w:footnote>
  <w:footnote w:id="3">
    <w:p w14:paraId="93000000">
      <w:pPr>
        <w:ind/>
        <w:jc w:val="both"/>
      </w:pPr>
      <w:r>
        <w:rPr>
          <w:vertAlign w:val="superscript"/>
        </w:rPr>
        <w:footnoteRef/>
      </w:r>
      <w:r>
        <w:t xml:space="preserve"> </w:t>
      </w:r>
      <w:r>
        <w:rPr>
          <w:rFonts w:ascii="Times New Roman" w:hAnsi="Times New Roman"/>
          <w:sz w:val="24"/>
        </w:rPr>
        <w:t>Приказ Минобрнауки России от 10.11.2017 N 1093 "Об утверждении Положения о совете по защите диссертаций на соискание ученой степени кандидата наук, на соискание ученой степени доктора наук"</w:t>
      </w:r>
      <w:r>
        <w:rPr>
          <w:sz w:val="24"/>
        </w:rPr>
        <w:t>//</w:t>
      </w:r>
      <w:r>
        <w:t xml:space="preserve"> </w:t>
      </w:r>
      <w:r>
        <w:rPr>
          <w:rFonts w:ascii="Times New Roman" w:hAnsi="Times New Roman"/>
          <w:sz w:val="24"/>
        </w:rPr>
        <w:t xml:space="preserve">Официальный интернет-портал правовой информации </w:t>
      </w:r>
      <w:r>
        <w:rPr>
          <w:rFonts w:ascii="Times New Roman" w:hAnsi="Times New Roman"/>
          <w:color w:val="0000FF"/>
          <w:sz w:val="24"/>
          <w:u w:val="single"/>
        </w:rPr>
        <w:fldChar w:fldCharType="begin"/>
      </w:r>
      <w:r>
        <w:rPr>
          <w:rFonts w:ascii="Times New Roman" w:hAnsi="Times New Roman"/>
          <w:color w:val="0000FF"/>
          <w:sz w:val="24"/>
          <w:u w:val="single"/>
        </w:rPr>
        <w:instrText>HYPERLINK "http://pravo.gov.rudocwww&gt;&lt;span class=aligner&gt;&lt;div class=iconlistDocWWW-16&gt;&lt;/div&gt;&lt;/span&gt;http://pravo.gov.ru&lt;/div&gt;" \o "&lt;div class="</w:instrText>
      </w:r>
      <w:r>
        <w:rPr>
          <w:rFonts w:ascii="Times New Roman" w:hAnsi="Times New Roman"/>
          <w:color w:val="0000FF"/>
          <w:sz w:val="24"/>
          <w:u w:val="single"/>
        </w:rPr>
        <w:fldChar w:fldCharType="separate"/>
      </w:r>
      <w:r>
        <w:rPr>
          <w:rFonts w:ascii="Times New Roman" w:hAnsi="Times New Roman"/>
          <w:color w:val="0000FF"/>
          <w:sz w:val="24"/>
          <w:u w:val="single"/>
        </w:rPr>
        <w:t>http://pravo.gov.ru</w:t>
      </w:r>
      <w:r>
        <w:rPr>
          <w:rFonts w:ascii="Times New Roman" w:hAnsi="Times New Roman"/>
          <w:color w:val="0000FF"/>
          <w:sz w:val="24"/>
          <w:u w:val="single"/>
        </w:rPr>
        <w:fldChar w:fldCharType="end"/>
      </w:r>
      <w:r>
        <w:rPr>
          <w:rFonts w:ascii="Times New Roman" w:hAnsi="Times New Roman"/>
          <w:sz w:val="24"/>
        </w:rPr>
        <w:t xml:space="preserve">, 06.12.2017 </w:t>
      </w:r>
    </w:p>
    <w:p w14:paraId="94000000">
      <w:pPr>
        <w:pStyle w:val="Style_19"/>
      </w:pPr>
    </w:p>
  </w:footnote>
  <w:footnote w:id="4">
    <w:p w14:paraId="95000000">
      <w:pPr>
        <w:pStyle w:val="Style_19"/>
        <w:ind/>
        <w:jc w:val="both"/>
      </w:pPr>
      <w:r>
        <w:rPr>
          <w:vertAlign w:val="superscript"/>
        </w:rPr>
        <w:footnoteRef/>
      </w:r>
      <w:r>
        <w:t xml:space="preserve"> </w:t>
      </w:r>
      <w:r>
        <w:rPr>
          <w:sz w:val="24"/>
        </w:rPr>
        <w:t>Распоряжение Правительства Российской Федерации от 23 августа 2017 N 1792-р «Об утверждении перечня научных организаций и образовательных организаций высшего образования, которым предоставляются права, предусмотренные абзацами вторым - четвертым пункта 3.1 статьи 4 Федерального закона от 23.08.1996 N 127-ФЗ»//</w:t>
      </w:r>
    </w:p>
  </w:footnote>
  <w:footnote w:id="5">
    <w:p w14:paraId="96000000">
      <w:pPr>
        <w:pStyle w:val="Style_19"/>
      </w:pPr>
      <w:r>
        <w:rPr>
          <w:vertAlign w:val="superscript"/>
        </w:rPr>
        <w:footnoteRef/>
      </w:r>
      <w:r>
        <w:t xml:space="preserve"> </w:t>
      </w:r>
      <w:r>
        <w:t>https://spbu.ru/sites/default/files/20211119_11181_1.pdf</w:t>
      </w:r>
    </w:p>
  </w:footnote>
  <w:footnote w:id="6">
    <w:p w14:paraId="97000000">
      <w:pPr>
        <w:pStyle w:val="Style_19"/>
      </w:pPr>
      <w:r>
        <w:rPr>
          <w:vertAlign w:val="superscript"/>
        </w:rPr>
        <w:footnoteRef/>
      </w:r>
      <w:r>
        <w:t xml:space="preserve"> </w:t>
      </w:r>
      <w:r>
        <w:t>https://spbu.ru/sites/default/files/2016-07-20_pologhenie_sovet_zaschity.pdf</w:t>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429"/>
      </w:pPr>
    </w:lvl>
    <w:lvl w:ilvl="1">
      <w:start w:val="1"/>
      <w:numFmt w:val="decimal"/>
      <w:lvlText w:val="%1.%2."/>
      <w:lvlJc w:val="left"/>
      <w:pPr>
        <w:ind w:hanging="720" w:left="1789"/>
      </w:pPr>
      <w:rPr>
        <w:b w:val="0"/>
      </w:rPr>
    </w:lvl>
    <w:lvl w:ilvl="2">
      <w:start w:val="1"/>
      <w:numFmt w:val="decimal"/>
      <w:lvlText w:val="%1.%2.%3."/>
      <w:lvlJc w:val="left"/>
      <w:pPr>
        <w:ind w:hanging="720" w:left="1789"/>
      </w:pPr>
    </w:lvl>
    <w:lvl w:ilvl="3">
      <w:start w:val="1"/>
      <w:numFmt w:val="decimal"/>
      <w:lvlText w:val="%1.%2.%3.%4."/>
      <w:lvlJc w:val="left"/>
      <w:pPr>
        <w:ind w:hanging="1080" w:left="2149"/>
      </w:pPr>
    </w:lvl>
    <w:lvl w:ilvl="4">
      <w:start w:val="1"/>
      <w:numFmt w:val="decimal"/>
      <w:lvlText w:val="%1.%2.%3.%4.%5."/>
      <w:lvlJc w:val="left"/>
      <w:pPr>
        <w:ind w:hanging="1080" w:left="2149"/>
      </w:pPr>
    </w:lvl>
    <w:lvl w:ilvl="5">
      <w:start w:val="1"/>
      <w:numFmt w:val="decimal"/>
      <w:lvlText w:val="%1.%2.%3.%4.%5.%6."/>
      <w:lvlJc w:val="left"/>
      <w:pPr>
        <w:ind w:hanging="1440" w:left="2509"/>
      </w:pPr>
    </w:lvl>
    <w:lvl w:ilvl="6">
      <w:start w:val="1"/>
      <w:numFmt w:val="decimal"/>
      <w:lvlText w:val="%1.%2.%3.%4.%5.%6.%7."/>
      <w:lvlJc w:val="left"/>
      <w:pPr>
        <w:ind w:hanging="1800" w:left="2869"/>
      </w:pPr>
    </w:lvl>
    <w:lvl w:ilvl="7">
      <w:start w:val="1"/>
      <w:numFmt w:val="decimal"/>
      <w:lvlText w:val="%1.%2.%3.%4.%5.%6.%7.%8."/>
      <w:lvlJc w:val="left"/>
      <w:pPr>
        <w:ind w:hanging="1800" w:left="2869"/>
      </w:pPr>
    </w:lvl>
    <w:lvl w:ilvl="8">
      <w:start w:val="1"/>
      <w:numFmt w:val="decimal"/>
      <w:lvlText w:val="%1.%2.%3.%4.%5.%6.%7.%8.%9."/>
      <w:lvlJc w:val="left"/>
      <w:pPr>
        <w:ind w:hanging="2160" w:left="3229"/>
      </w:pPr>
    </w:lvl>
  </w:abstractNum>
  <w:abstractNum w:abstractNumId="1">
    <w:lvl w:ilvl="0">
      <w:start w:val="1"/>
      <w:numFmt w:val="decimal"/>
      <w:lvlText w:val="%1."/>
      <w:lvlJc w:val="left"/>
      <w:pPr>
        <w:ind w:hanging="450" w:left="450"/>
      </w:pPr>
    </w:lvl>
    <w:lvl w:ilvl="1">
      <w:start w:val="4"/>
      <w:numFmt w:val="decimal"/>
      <w:lvlText w:val="%1.%2."/>
      <w:lvlJc w:val="left"/>
      <w:pPr>
        <w:ind w:hanging="720" w:left="1789"/>
      </w:pPr>
    </w:lvl>
    <w:lvl w:ilvl="2">
      <w:start w:val="1"/>
      <w:numFmt w:val="decimal"/>
      <w:lvlText w:val="%1.%2.%3."/>
      <w:lvlJc w:val="left"/>
      <w:pPr>
        <w:ind w:hanging="720" w:left="2858"/>
      </w:pPr>
    </w:lvl>
    <w:lvl w:ilvl="3">
      <w:start w:val="1"/>
      <w:numFmt w:val="decimal"/>
      <w:lvlText w:val="%1.%2.%3.%4."/>
      <w:lvlJc w:val="left"/>
      <w:pPr>
        <w:ind w:hanging="1080" w:left="4287"/>
      </w:pPr>
    </w:lvl>
    <w:lvl w:ilvl="4">
      <w:start w:val="1"/>
      <w:numFmt w:val="decimal"/>
      <w:lvlText w:val="%1.%2.%3.%4.%5."/>
      <w:lvlJc w:val="left"/>
      <w:pPr>
        <w:ind w:hanging="1080" w:left="5356"/>
      </w:pPr>
    </w:lvl>
    <w:lvl w:ilvl="5">
      <w:start w:val="1"/>
      <w:numFmt w:val="decimal"/>
      <w:lvlText w:val="%1.%2.%3.%4.%5.%6."/>
      <w:lvlJc w:val="left"/>
      <w:pPr>
        <w:ind w:hanging="1440" w:left="6785"/>
      </w:pPr>
    </w:lvl>
    <w:lvl w:ilvl="6">
      <w:start w:val="1"/>
      <w:numFmt w:val="decimal"/>
      <w:lvlText w:val="%1.%2.%3.%4.%5.%6.%7."/>
      <w:lvlJc w:val="left"/>
      <w:pPr>
        <w:ind w:hanging="1800" w:left="8214"/>
      </w:pPr>
    </w:lvl>
    <w:lvl w:ilvl="7">
      <w:start w:val="1"/>
      <w:numFmt w:val="decimal"/>
      <w:lvlText w:val="%1.%2.%3.%4.%5.%6.%7.%8."/>
      <w:lvlJc w:val="left"/>
      <w:pPr>
        <w:ind w:hanging="1800" w:left="9283"/>
      </w:pPr>
    </w:lvl>
    <w:lvl w:ilvl="8">
      <w:start w:val="1"/>
      <w:numFmt w:val="decimal"/>
      <w:lvlText w:val="%1.%2.%3.%4.%5.%6.%7.%8.%9."/>
      <w:lvlJc w:val="left"/>
      <w:pPr>
        <w:ind w:hanging="2160" w:left="10712"/>
      </w:pPr>
    </w:lvl>
  </w:abstractNum>
  <w:abstractNum w:abstractNumId="2">
    <w:lvl w:ilvl="0">
      <w:start w:val="3"/>
      <w:numFmt w:val="decimal"/>
      <w:lvlText w:val="%1."/>
      <w:lvlJc w:val="left"/>
      <w:pPr>
        <w:ind w:hanging="450" w:left="450"/>
      </w:pPr>
      <w:rPr>
        <w:b w:val="0"/>
      </w:rPr>
    </w:lvl>
    <w:lvl w:ilvl="1">
      <w:start w:val="1"/>
      <w:numFmt w:val="decimal"/>
      <w:lvlText w:val="%1.%2."/>
      <w:lvlJc w:val="left"/>
      <w:pPr>
        <w:ind w:hanging="720" w:left="720"/>
      </w:pPr>
      <w:rPr>
        <w:b w:val="0"/>
      </w:rPr>
    </w:lvl>
    <w:lvl w:ilvl="2">
      <w:start w:val="1"/>
      <w:numFmt w:val="decimal"/>
      <w:lvlText w:val="%1.%2.%3."/>
      <w:lvlJc w:val="left"/>
      <w:pPr>
        <w:ind w:hanging="720" w:left="720"/>
      </w:pPr>
      <w:rPr>
        <w:b w:val="0"/>
      </w:rPr>
    </w:lvl>
    <w:lvl w:ilvl="3">
      <w:start w:val="1"/>
      <w:numFmt w:val="decimal"/>
      <w:lvlText w:val="%1.%2.%3.%4."/>
      <w:lvlJc w:val="left"/>
      <w:pPr>
        <w:ind w:hanging="1080" w:left="1080"/>
      </w:pPr>
      <w:rPr>
        <w:b w:val="0"/>
      </w:rPr>
    </w:lvl>
    <w:lvl w:ilvl="4">
      <w:start w:val="1"/>
      <w:numFmt w:val="decimal"/>
      <w:lvlText w:val="%1.%2.%3.%4.%5."/>
      <w:lvlJc w:val="left"/>
      <w:pPr>
        <w:ind w:hanging="1080" w:left="1080"/>
      </w:pPr>
      <w:rPr>
        <w:b w:val="0"/>
      </w:rPr>
    </w:lvl>
    <w:lvl w:ilvl="5">
      <w:start w:val="1"/>
      <w:numFmt w:val="decimal"/>
      <w:lvlText w:val="%1.%2.%3.%4.%5.%6."/>
      <w:lvlJc w:val="left"/>
      <w:pPr>
        <w:ind w:hanging="1440" w:left="1440"/>
      </w:pPr>
      <w:rPr>
        <w:b w:val="0"/>
      </w:rPr>
    </w:lvl>
    <w:lvl w:ilvl="6">
      <w:start w:val="1"/>
      <w:numFmt w:val="decimal"/>
      <w:lvlText w:val="%1.%2.%3.%4.%5.%6.%7."/>
      <w:lvlJc w:val="left"/>
      <w:pPr>
        <w:ind w:hanging="1800" w:left="1800"/>
      </w:pPr>
      <w:rPr>
        <w:b w:val="0"/>
      </w:rPr>
    </w:lvl>
    <w:lvl w:ilvl="7">
      <w:start w:val="1"/>
      <w:numFmt w:val="decimal"/>
      <w:lvlText w:val="%1.%2.%3.%4.%5.%6.%7.%8."/>
      <w:lvlJc w:val="left"/>
      <w:pPr>
        <w:ind w:hanging="1800" w:left="1800"/>
      </w:pPr>
      <w:rPr>
        <w:b w:val="0"/>
      </w:rPr>
    </w:lvl>
    <w:lvl w:ilvl="8">
      <w:start w:val="1"/>
      <w:numFmt w:val="decimal"/>
      <w:lvlText w:val="%1.%2.%3.%4.%5.%6.%7.%8.%9."/>
      <w:lvlJc w:val="left"/>
      <w:pPr>
        <w:ind w:hanging="2160" w:left="2160"/>
      </w:pPr>
      <w:rPr>
        <w:b w:val="0"/>
      </w:r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7" w:type="paragraph">
    <w:name w:val="toc 2"/>
    <w:next w:val="Style_2"/>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2"/>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er"/>
    <w:basedOn w:val="Style_2"/>
    <w:link w:val="Style_11_ch"/>
    <w:pPr>
      <w:tabs>
        <w:tab w:leader="none" w:pos="4677" w:val="center"/>
        <w:tab w:leader="none" w:pos="9355" w:val="right"/>
      </w:tabs>
      <w:spacing w:after="0" w:line="240" w:lineRule="auto"/>
      <w:ind/>
    </w:pPr>
  </w:style>
  <w:style w:styleId="Style_11_ch" w:type="character">
    <w:name w:val="header"/>
    <w:basedOn w:val="Style_2_ch"/>
    <w:link w:val="Style_11"/>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2"/>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3" w:type="paragraph">
    <w:name w:val="footer"/>
    <w:basedOn w:val="Style_2"/>
    <w:link w:val="Style_3_ch"/>
    <w:pPr>
      <w:tabs>
        <w:tab w:leader="none" w:pos="4677" w:val="center"/>
        <w:tab w:leader="none" w:pos="9355" w:val="right"/>
      </w:tabs>
      <w:spacing w:after="0" w:line="240" w:lineRule="auto"/>
      <w:ind/>
    </w:pPr>
  </w:style>
  <w:style w:styleId="Style_3_ch" w:type="character">
    <w:name w:val="footer"/>
    <w:basedOn w:val="Style_2_ch"/>
    <w:link w:val="Style_3"/>
  </w:style>
  <w:style w:styleId="Style_14" w:type="paragraph">
    <w:name w:val="toc 3"/>
    <w:next w:val="Style_2"/>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2"/>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2"/>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basedOn w:val="Style_18"/>
    <w:link w:val="Style_17_ch"/>
    <w:rPr>
      <w:color w:val="0000FF"/>
      <w:u w:val="single"/>
    </w:rPr>
  </w:style>
  <w:style w:styleId="Style_17_ch" w:type="character">
    <w:name w:val="Hyperlink"/>
    <w:basedOn w:val="Style_18_ch"/>
    <w:link w:val="Style_17"/>
    <w:rPr>
      <w:color w:val="0000FF"/>
      <w:u w:val="single"/>
    </w:rPr>
  </w:style>
  <w:style w:styleId="Style_19" w:type="paragraph">
    <w:name w:val="Footnote"/>
    <w:basedOn w:val="Style_2"/>
    <w:link w:val="Style_19_ch"/>
    <w:pPr>
      <w:spacing w:after="0" w:line="240" w:lineRule="auto"/>
      <w:ind/>
    </w:pPr>
    <w:rPr>
      <w:rFonts w:ascii="Times New Roman" w:hAnsi="Times New Roman"/>
      <w:sz w:val="20"/>
    </w:rPr>
  </w:style>
  <w:style w:styleId="Style_19_ch" w:type="character">
    <w:name w:val="Footnote"/>
    <w:basedOn w:val="Style_2_ch"/>
    <w:link w:val="Style_19"/>
    <w:rPr>
      <w:rFonts w:ascii="Times New Roman" w:hAnsi="Times New Roman"/>
      <w:sz w:val="20"/>
    </w:rPr>
  </w:style>
  <w:style w:styleId="Style_20" w:type="paragraph">
    <w:name w:val="toc 1"/>
    <w:next w:val="Style_2"/>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2"/>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5" w:type="paragraph">
    <w:name w:val="footnote reference"/>
    <w:basedOn w:val="Style_18"/>
    <w:link w:val="Style_5_ch"/>
    <w:rPr>
      <w:vertAlign w:val="superscript"/>
    </w:rPr>
  </w:style>
  <w:style w:styleId="Style_5_ch" w:type="character">
    <w:name w:val="footnote reference"/>
    <w:basedOn w:val="Style_18_ch"/>
    <w:link w:val="Style_5"/>
    <w:rPr>
      <w:vertAlign w:val="superscript"/>
    </w:rPr>
  </w:style>
  <w:style w:styleId="Style_23" w:type="paragraph">
    <w:name w:val="toc 8"/>
    <w:next w:val="Style_2"/>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6" w:type="paragraph">
    <w:name w:val="List Paragraph"/>
    <w:basedOn w:val="Style_2"/>
    <w:link w:val="Style_6_ch"/>
    <w:pPr>
      <w:ind w:firstLine="0" w:left="720"/>
      <w:contextualSpacing w:val="1"/>
    </w:pPr>
  </w:style>
  <w:style w:styleId="Style_6_ch" w:type="character">
    <w:name w:val="List Paragraph"/>
    <w:basedOn w:val="Style_2_ch"/>
    <w:link w:val="Style_6"/>
  </w:style>
  <w:style w:styleId="Style_24" w:type="paragraph">
    <w:name w:val="toc 5"/>
    <w:next w:val="Style_2"/>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1" w:type="paragraph">
    <w:name w:val="Body Text"/>
    <w:basedOn w:val="Style_2"/>
    <w:link w:val="Style_1_ch"/>
    <w:pPr>
      <w:widowControl w:val="0"/>
      <w:spacing w:after="0" w:line="240" w:lineRule="auto"/>
      <w:ind/>
    </w:pPr>
    <w:rPr>
      <w:rFonts w:ascii="Times New Roman" w:hAnsi="Times New Roman"/>
      <w:sz w:val="28"/>
    </w:rPr>
  </w:style>
  <w:style w:styleId="Style_1_ch" w:type="character">
    <w:name w:val="Body Text"/>
    <w:basedOn w:val="Style_2_ch"/>
    <w:link w:val="Style_1"/>
    <w:rPr>
      <w:rFonts w:ascii="Times New Roman" w:hAnsi="Times New Roman"/>
      <w:sz w:val="28"/>
    </w:rPr>
  </w:style>
  <w:style w:styleId="Style_25" w:type="paragraph">
    <w:name w:val="Subtitle"/>
    <w:next w:val="Style_2"/>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2"/>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2"/>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18" w:type="paragraph">
    <w:name w:val="Default Paragraph Font"/>
    <w:link w:val="Style_18_ch"/>
  </w:style>
  <w:style w:styleId="Style_18_ch" w:type="character">
    <w:name w:val="Default Paragraph Font"/>
    <w:link w:val="Style_18"/>
  </w:style>
  <w:style w:styleId="Style_28" w:type="paragraph">
    <w:name w:val="heading 2"/>
    <w:next w:val="Style_2"/>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endnotes.xml" Type="http://schemas.openxmlformats.org/officeDocument/2006/relationships/endnotes"/>
  <Relationship Id="rId9" Target="footnotes.xml" Type="http://schemas.openxmlformats.org/officeDocument/2006/relationships/footnote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MyOffice-CoreFramework-Windows/30-1057.739.7957.691.1@38b867b02ce554190e9388f378371f3612919ae8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2023-10-30T08:21:04Z</dcterms:modified>
</cp:coreProperties>
</file>