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5"/>
      </w:tblGrid>
      <w:tr w:rsidR="00DF2DDA" w:rsidTr="00DF2DDA">
        <w:trPr>
          <w:cantSplit/>
          <w:trHeight w:val="660"/>
        </w:trPr>
        <w:tc>
          <w:tcPr>
            <w:tcW w:w="8539" w:type="dxa"/>
            <w:hideMark/>
          </w:tcPr>
          <w:p w:rsidR="00DF2DDA" w:rsidRDefault="00DF2DDA">
            <w:pPr>
              <w:pStyle w:val="2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Автономная некоммерческая организация</w:t>
            </w:r>
          </w:p>
          <w:p w:rsidR="00DF2DDA" w:rsidRDefault="00DF2DDA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«Научно-исследовательский «Центр развития энергетического права и современной правовой науки</w:t>
            </w:r>
          </w:p>
          <w:p w:rsidR="00DF2DDA" w:rsidRDefault="00DF2DD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  <w:b/>
                <w:spacing w:val="3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имени В.А. Мусина»</w:t>
            </w:r>
          </w:p>
        </w:tc>
      </w:tr>
    </w:tbl>
    <w:p w:rsidR="00DF2DDA" w:rsidRDefault="00DF2DDA" w:rsidP="00DF2DDA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DF2DDA" w:rsidRDefault="00DF2DDA" w:rsidP="00DF2DDA">
      <w:pPr>
        <w:keepNext/>
        <w:keepLines/>
        <w:widowControl w:val="0"/>
        <w:suppressAutoHyphens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tbl>
      <w:tblPr>
        <w:tblW w:w="93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256"/>
      </w:tblGrid>
      <w:tr w:rsidR="00DF2DDA" w:rsidTr="00DF2DDA">
        <w:trPr>
          <w:trHeight w:val="1283"/>
          <w:jc w:val="right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DF2DDA" w:rsidRDefault="00DF2DD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DF2DDA" w:rsidRDefault="00DF2DDA">
            <w:pPr>
              <w:keepNext/>
              <w:spacing w:line="276" w:lineRule="auto"/>
              <w:outlineLvl w:val="0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  <w:t>УТВЕРЖДАЮ:</w:t>
            </w:r>
          </w:p>
          <w:p w:rsidR="00DF2DDA" w:rsidRDefault="00DF2D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DF2DDA" w:rsidRDefault="00DF2D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2DDA" w:rsidRDefault="00DF2DDA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______________Ю.В. Трунцевский</w:t>
            </w:r>
          </w:p>
          <w:p w:rsidR="00651BFA" w:rsidRDefault="00651BFA" w:rsidP="00651BF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kern w:val="32"/>
                <w:sz w:val="24"/>
                <w:szCs w:val="24"/>
                <w:lang w:eastAsia="en-US"/>
              </w:rPr>
              <w:t>«19» сентября 2022 г.</w:t>
            </w:r>
          </w:p>
          <w:p w:rsidR="00DF2DDA" w:rsidRDefault="00DF2DD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43"/>
              <w:rPr>
                <w:rFonts w:eastAsia="Times New Roman"/>
                <w:b/>
                <w:bCs/>
                <w:kern w:val="32"/>
                <w:sz w:val="24"/>
                <w:szCs w:val="24"/>
                <w:lang w:eastAsia="en-US"/>
              </w:rPr>
            </w:pPr>
          </w:p>
        </w:tc>
      </w:tr>
    </w:tbl>
    <w:p w:rsidR="00DF2DDA" w:rsidRDefault="00DF2DDA" w:rsidP="00DF2DDA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ДОПОЛНИТЕЛЬНАЯ ПРОФЕССИОНАЛЬНАЯ ПРОГРАММА </w:t>
      </w:r>
    </w:p>
    <w:p w:rsidR="00DF2DDA" w:rsidRDefault="00DF2DDA" w:rsidP="00DF2DDA">
      <w:pPr>
        <w:jc w:val="center"/>
        <w:rPr>
          <w:b/>
          <w:bCs/>
          <w:color w:val="000000"/>
          <w:kern w:val="36"/>
          <w:sz w:val="24"/>
          <w:szCs w:val="24"/>
        </w:rPr>
      </w:pPr>
      <w:r>
        <w:rPr>
          <w:bCs/>
          <w:sz w:val="24"/>
          <w:szCs w:val="24"/>
        </w:rPr>
        <w:t>ПОВЫШЕНИЯ КВАЛИФИКАЦИИ</w:t>
      </w:r>
      <w:r>
        <w:rPr>
          <w:b/>
          <w:bCs/>
          <w:color w:val="000000"/>
          <w:kern w:val="36"/>
          <w:sz w:val="24"/>
          <w:szCs w:val="24"/>
        </w:rPr>
        <w:t xml:space="preserve"> 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/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«</w:t>
      </w:r>
      <w:r>
        <w:rPr>
          <w:b/>
          <w:bCs/>
          <w:color w:val="000000"/>
          <w:kern w:val="36"/>
          <w:sz w:val="24"/>
          <w:szCs w:val="24"/>
        </w:rPr>
        <w:t>Правовое обеспечение безопасности энергетических объектов»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Cs/>
          <w:color w:val="000000"/>
          <w:kern w:val="36"/>
          <w:sz w:val="24"/>
          <w:szCs w:val="24"/>
        </w:rPr>
      </w:pPr>
      <w:r>
        <w:rPr>
          <w:bCs/>
          <w:color w:val="000000"/>
          <w:kern w:val="36"/>
          <w:sz w:val="24"/>
          <w:szCs w:val="24"/>
        </w:rPr>
        <w:t>______________________________________________</w:t>
      </w:r>
      <w:r w:rsidR="00600AFD">
        <w:rPr>
          <w:bCs/>
          <w:color w:val="000000"/>
          <w:kern w:val="36"/>
          <w:sz w:val="24"/>
          <w:szCs w:val="24"/>
        </w:rPr>
        <w:t>______________________________</w:t>
      </w:r>
    </w:p>
    <w:p w:rsidR="00DF2DDA" w:rsidRDefault="00DF2DDA" w:rsidP="00DF2DDA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(наименование программы)</w:t>
      </w:r>
    </w:p>
    <w:p w:rsidR="00DF2DDA" w:rsidRDefault="00DF2DDA" w:rsidP="00DF2DDA">
      <w:pPr>
        <w:tabs>
          <w:tab w:val="left" w:pos="3113"/>
          <w:tab w:val="center" w:pos="4818"/>
        </w:tabs>
        <w:jc w:val="center"/>
        <w:rPr>
          <w:i/>
          <w:color w:val="000000"/>
          <w:sz w:val="24"/>
          <w:szCs w:val="24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ОБЩАЯ ХАРАКТЕРИСТИКА ПРОГРАММЫ</w:t>
      </w:r>
    </w:p>
    <w:p w:rsidR="00DF2DDA" w:rsidRDefault="00DF2DDA" w:rsidP="00DF2DDA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Цель Программы: </w:t>
      </w:r>
      <w:r>
        <w:rPr>
          <w:sz w:val="24"/>
          <w:szCs w:val="24"/>
        </w:rPr>
        <w:t>повышение квалификации обучающихся по вопросам, связанным с правовым обеспечением антитеррористической защищенности и промышленной безопасности энергетических объектов, получения углубленных знаний о тенденциях развития государственного контроля (надзора) за соблюдением требований законодательства в области антитеррористической защищенности и промышленной безопасности,   приобретение новых и совершенствование имеющихся компетенций.</w:t>
      </w:r>
    </w:p>
    <w:p w:rsidR="00DF2DDA" w:rsidRDefault="00DF2DDA" w:rsidP="00DF2DDA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Категория слушателей: </w:t>
      </w:r>
      <w:r>
        <w:rPr>
          <w:sz w:val="24"/>
          <w:szCs w:val="24"/>
        </w:rPr>
        <w:t>руководители и специалисты компаний топливно-энергетического комплекса, государственных органов, консалтинговых компаний, иные заинтересованные лица.</w:t>
      </w:r>
    </w:p>
    <w:p w:rsidR="00DF2DDA" w:rsidRDefault="00DF2DDA" w:rsidP="00DF2DD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Базовое образование:</w:t>
      </w:r>
      <w:r>
        <w:rPr>
          <w:color w:val="000000"/>
          <w:sz w:val="24"/>
          <w:szCs w:val="24"/>
        </w:rPr>
        <w:t xml:space="preserve"> </w:t>
      </w:r>
      <w:bookmarkStart w:id="0" w:name="_Hlk60748705"/>
      <w:r>
        <w:rPr>
          <w:sz w:val="24"/>
          <w:szCs w:val="24"/>
        </w:rPr>
        <w:t>высшее (высшее профессиональное) и (или) среднее профессиональное образование</w:t>
      </w:r>
      <w:bookmarkEnd w:id="0"/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</w:p>
    <w:p w:rsidR="00DF2DDA" w:rsidRDefault="00DF2DDA" w:rsidP="00DF2DDA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Форма обучения:</w:t>
      </w:r>
      <w:r>
        <w:rPr>
          <w:color w:val="000000"/>
          <w:sz w:val="24"/>
          <w:szCs w:val="24"/>
        </w:rPr>
        <w:t xml:space="preserve"> очная, очно-заочная, заочная</w:t>
      </w:r>
    </w:p>
    <w:p w:rsidR="00DF2DDA" w:rsidRDefault="00DF2DDA" w:rsidP="00DF2DDA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Модель реализации обучения: </w:t>
      </w:r>
      <w:r>
        <w:rPr>
          <w:color w:val="000000"/>
          <w:sz w:val="24"/>
          <w:szCs w:val="24"/>
        </w:rPr>
        <w:t>аудиторные занятия, самостоятельная работа слушателей, электронное обучение с применением дистанционных образовательных технологий (в онлайн-формате с помощью ресурсов ЭИОС организации).</w:t>
      </w:r>
    </w:p>
    <w:p w:rsidR="00DF2DDA" w:rsidRDefault="00DF2DDA" w:rsidP="00DF2DDA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Объем программы обучения: 40 </w:t>
      </w:r>
      <w:r>
        <w:rPr>
          <w:color w:val="000000"/>
          <w:sz w:val="24"/>
          <w:szCs w:val="24"/>
        </w:rPr>
        <w:t>часов.  Срок обучения – 5 дней</w:t>
      </w:r>
    </w:p>
    <w:p w:rsidR="00DF2DDA" w:rsidRPr="007A7D6C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>Общая и аудиторная трудоемкость указана в академических часах.</w:t>
      </w:r>
    </w:p>
    <w:p w:rsidR="00DF2DDA" w:rsidRPr="007A7D6C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>Автор-разработчик: Романова В.В., д.ю.н., научный руководитель АНО «Научно-исследовательский «Центр развития энергетического права и современной правовой науки имени В.А.Мусина»</w:t>
      </w:r>
    </w:p>
    <w:p w:rsidR="00DF2DDA" w:rsidRPr="007A7D6C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>Методическое оформление: Коленькова М.А.</w:t>
      </w:r>
    </w:p>
    <w:p w:rsidR="00DF2DDA" w:rsidRDefault="00DF2DDA" w:rsidP="00DF2DDA">
      <w:pPr>
        <w:jc w:val="both"/>
        <w:rPr>
          <w:sz w:val="24"/>
          <w:szCs w:val="24"/>
        </w:rPr>
      </w:pPr>
      <w:r w:rsidRPr="007A7D6C">
        <w:rPr>
          <w:sz w:val="24"/>
          <w:szCs w:val="24"/>
        </w:rPr>
        <w:t>Рецензенты: М.И.Клеандров, д.ю.н., профессор, член-корреспондент Российской академии наук, А.Г.Лисицын-Светланов, д.ю.н., профессор, академик Российской академии наук</w:t>
      </w:r>
    </w:p>
    <w:p w:rsidR="00DF2DDA" w:rsidRDefault="00DF2DDA" w:rsidP="00DF2DDA">
      <w:pPr>
        <w:jc w:val="both"/>
        <w:rPr>
          <w:sz w:val="24"/>
          <w:szCs w:val="24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518"/>
        <w:gridCol w:w="789"/>
        <w:gridCol w:w="678"/>
        <w:gridCol w:w="655"/>
        <w:gridCol w:w="678"/>
        <w:gridCol w:w="655"/>
        <w:gridCol w:w="678"/>
        <w:gridCol w:w="655"/>
        <w:gridCol w:w="1307"/>
      </w:tblGrid>
      <w:tr w:rsidR="00DF2DDA" w:rsidTr="00651BFA">
        <w:trPr>
          <w:trHeight w:val="18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1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ind w:left="-3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Наименование разделов и </w:t>
            </w:r>
            <w:r>
              <w:rPr>
                <w:sz w:val="24"/>
                <w:szCs w:val="24"/>
                <w:lang w:eastAsia="en-US"/>
              </w:rPr>
              <w:t xml:space="preserve">дисциплин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(модулей)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DF2DDA" w:rsidRDefault="00DF2DDA">
            <w:pPr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Всего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часов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ОФО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Форма </w:t>
            </w:r>
          </w:p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аттестации</w:t>
            </w:r>
          </w:p>
        </w:tc>
      </w:tr>
      <w:tr w:rsidR="00DF2DDA" w:rsidTr="00651BFA">
        <w:trPr>
          <w:trHeight w:val="4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F2DDA" w:rsidTr="00651BFA">
        <w:trPr>
          <w:trHeight w:val="10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F2DDA" w:rsidTr="00651BFA">
        <w:trPr>
          <w:trHeight w:val="8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С.00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Специальный раздел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F2DDA" w:rsidTr="00651BFA">
        <w:trPr>
          <w:trHeight w:val="1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 Правовое обеспечение антитеррористической защищенности энергетических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F2DDA" w:rsidTr="00651BFA">
        <w:trPr>
          <w:trHeight w:val="1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ind w:right="34"/>
              <w:rPr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Тема 2. Правовое обеспечение промышленной безопасности опасных производственных энергетических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зачет</w:t>
            </w:r>
          </w:p>
        </w:tc>
      </w:tr>
      <w:tr w:rsidR="00DF2DDA" w:rsidTr="00651BFA">
        <w:trPr>
          <w:trHeight w:val="1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</w:tr>
      <w:tr w:rsidR="00DF2DDA" w:rsidTr="00651BFA">
        <w:trPr>
          <w:trHeight w:val="1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ИА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hd w:val="clear" w:color="auto" w:fill="FFFFFF"/>
              <w:autoSpaceDN w:val="0"/>
              <w:spacing w:line="276" w:lineRule="auto"/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DF2DDA" w:rsidTr="00651BFA">
        <w:trPr>
          <w:trHeight w:val="10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DA" w:rsidRDefault="00DF2DDA">
            <w:pPr>
              <w:shd w:val="clear" w:color="auto" w:fill="FFFFFF"/>
              <w:autoSpaceDN w:val="0"/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N w:val="0"/>
              <w:spacing w:line="276" w:lineRule="auto"/>
              <w:ind w:right="34"/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napToGrid w:val="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2</w:t>
            </w: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DDA" w:rsidRDefault="00DF2DDA">
            <w:pPr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DF2DDA" w:rsidRDefault="00DF2DDA" w:rsidP="00DF2DDA">
      <w:pPr>
        <w:widowControl w:val="0"/>
        <w:autoSpaceDE w:val="0"/>
        <w:autoSpaceDN w:val="0"/>
        <w:adjustRightInd w:val="0"/>
        <w:rPr>
          <w:vanish/>
          <w:sz w:val="24"/>
          <w:szCs w:val="24"/>
          <w:lang w:val="en-US"/>
        </w:rPr>
      </w:pPr>
    </w:p>
    <w:p w:rsidR="00DF2DDA" w:rsidRDefault="00DF2DDA" w:rsidP="00DF2DDA">
      <w:pPr>
        <w:shd w:val="clear" w:color="auto" w:fill="FFFFFF"/>
        <w:textAlignment w:val="top"/>
        <w:rPr>
          <w:sz w:val="24"/>
          <w:szCs w:val="24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КАЛЕНДАРНЫЙ УЧЕБНЫЙ ГРАФИК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Объем программы – 40 ч.</w:t>
      </w:r>
    </w:p>
    <w:p w:rsidR="00DF2DDA" w:rsidRDefault="00DF2DDA" w:rsidP="00DF2DDA">
      <w:pPr>
        <w:shd w:val="clear" w:color="auto" w:fill="FFFFFF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Продолжительность обучения – 5 дней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2268"/>
        <w:gridCol w:w="2268"/>
        <w:gridCol w:w="1985"/>
        <w:gridCol w:w="1413"/>
      </w:tblGrid>
      <w:tr w:rsidR="00DF2DDA" w:rsidTr="00DF2DDA">
        <w:trPr>
          <w:trHeight w:val="100"/>
        </w:trPr>
        <w:tc>
          <w:tcPr>
            <w:tcW w:w="9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Период обучения / учебные дни</w:t>
            </w:r>
          </w:p>
        </w:tc>
      </w:tr>
      <w:tr w:rsidR="00DF2DDA" w:rsidTr="00DF2DDA">
        <w:trPr>
          <w:trHeight w:val="2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DF2DDA" w:rsidTr="00DF2DDA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2DDA" w:rsidRDefault="00DF2D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F2DDA" w:rsidTr="00DF2DDA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6ч.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6ч.-П)</w:t>
            </w:r>
          </w:p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      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DF2DDA" w:rsidTr="00DF2DDA">
        <w:trPr>
          <w:trHeight w:val="23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2DDA" w:rsidRDefault="00DF2D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F2DDA" w:rsidTr="00DF2DDA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(2ч.-Л, 4ч. -П)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</w:t>
            </w:r>
          </w:p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(2ч.-Л, 4ч.-П)</w:t>
            </w:r>
          </w:p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  <w:tr w:rsidR="00DF2DDA" w:rsidTr="00DF2DDA">
        <w:trPr>
          <w:trHeight w:val="339"/>
        </w:trPr>
        <w:tc>
          <w:tcPr>
            <w:tcW w:w="8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2DDA" w:rsidRDefault="00DF2DD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ЗФО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DF2DDA" w:rsidTr="00DF2DDA">
        <w:trPr>
          <w:trHeight w:val="33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С.01 (2 ч.-Л, 2ч. - П)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СР</w:t>
            </w:r>
          </w:p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С.02 (2 ч.-Л, 2ч.-П)</w:t>
            </w:r>
          </w:p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hd w:val="clear" w:color="auto" w:fill="FFFFFF"/>
              <w:spacing w:line="276" w:lineRule="auto"/>
              <w:jc w:val="center"/>
              <w:textAlignment w:val="top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К(2ч.)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       ИА(2ч.)</w:t>
            </w:r>
          </w:p>
        </w:tc>
      </w:tr>
    </w:tbl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</w:p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С- номер темы учебно-тематического плана.</w:t>
      </w:r>
    </w:p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Л – лекция</w:t>
      </w:r>
    </w:p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П – практическое занятие</w:t>
      </w:r>
    </w:p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К– консультация</w:t>
      </w:r>
    </w:p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  <w:r>
        <w:rPr>
          <w:rFonts w:eastAsia="Times New Roman"/>
          <w:i/>
          <w:sz w:val="24"/>
          <w:szCs w:val="24"/>
          <w:u w:val="single"/>
        </w:rPr>
        <w:t>ИА – итоговая аттестация</w:t>
      </w:r>
    </w:p>
    <w:p w:rsidR="00DF2DDA" w:rsidRDefault="00DF2DDA" w:rsidP="00DF2DDA">
      <w:pPr>
        <w:rPr>
          <w:rFonts w:eastAsia="Times New Roman"/>
          <w:i/>
          <w:sz w:val="24"/>
          <w:szCs w:val="24"/>
          <w:u w:val="single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spacing w:line="240" w:lineRule="auto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РАБОЧИЕ ПРОГРАММЫ ДИСЦИПЛИН (МОДУЛЕЙ)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DF2DDA" w:rsidTr="00DF2D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 w:rsidP="00391CF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антитеррористической защищенности энергетических объектов </w:t>
            </w:r>
          </w:p>
        </w:tc>
      </w:tr>
      <w:tr w:rsidR="00DF2DDA" w:rsidTr="00DF2D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 w:rsidP="00651BFA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правового регулирования в области антитеррористической защищенности энергетических объектов. Особенности категорирования объектов топливно-энергетического комплекса в зависимости от степени потенциальной опасности. Особенности осуществления федерального государственного надзора за обеспечением безопасности объектов топливно-энергетического комплекса. Правовой анализ правоприменительной практики разрешения споров, связанных с нарушением требований законодательства в области обеспечения антитеррористической защищенности объектов топливно-энергетического комплекса.</w:t>
            </w:r>
          </w:p>
        </w:tc>
      </w:tr>
      <w:tr w:rsidR="00DF2DDA" w:rsidTr="00DF2D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Доклады-презентации, круглый стол по теме лекции с обзором проектов нормативных правовых актов </w:t>
            </w:r>
          </w:p>
        </w:tc>
      </w:tr>
    </w:tbl>
    <w:p w:rsidR="00DF2DDA" w:rsidRDefault="00DF2DDA" w:rsidP="00DF2DDA">
      <w:pPr>
        <w:rPr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7365"/>
      </w:tblGrid>
      <w:tr w:rsidR="00DF2DDA" w:rsidTr="00DF2D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 w:rsidP="00391CFF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97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Правовое обеспечение промышленной безопасности опасных производственных энергетических объектов </w:t>
            </w:r>
          </w:p>
        </w:tc>
      </w:tr>
      <w:tr w:rsidR="00DF2DDA" w:rsidTr="00DF2D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содержание лекций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 w:rsidP="00651BFA">
            <w:pPr>
              <w:tabs>
                <w:tab w:val="left" w:pos="709"/>
                <w:tab w:val="left" w:pos="851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правового регулирования в области промышленной безопасности опасных производственных энергетических объектов. Особенности идентификации опасных производственных объектов топливно-энергетического комплекса и присвоение классов опасности. Особенности осуществления федерального государственного надзора в области промышленной безопасности объектов топливно-энергетического комплекса. Правовой анализ правоприменительной практики разрешения споров, связанных с нарушением требований законодательства в области промышленной безопасности опасных производственных объектов топливно-энергетического комплекса.</w:t>
            </w:r>
          </w:p>
        </w:tc>
      </w:tr>
      <w:tr w:rsidR="00DF2DDA" w:rsidTr="00DF2DD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семинаров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по теме лекции</w:t>
            </w:r>
          </w:p>
        </w:tc>
      </w:tr>
    </w:tbl>
    <w:p w:rsidR="00DF2DDA" w:rsidRDefault="00DF2DDA" w:rsidP="00DF2DDA">
      <w:pPr>
        <w:rPr>
          <w:sz w:val="24"/>
          <w:szCs w:val="24"/>
        </w:rPr>
      </w:pPr>
    </w:p>
    <w:p w:rsidR="00DF2DDA" w:rsidRDefault="00DF2DDA" w:rsidP="00DF2DDA">
      <w:pPr>
        <w:pStyle w:val="a4"/>
        <w:numPr>
          <w:ilvl w:val="0"/>
          <w:numId w:val="1"/>
        </w:numPr>
        <w:shd w:val="clear" w:color="auto" w:fill="FFFFFF"/>
        <w:tabs>
          <w:tab w:val="left" w:pos="1872"/>
        </w:tabs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ПЛАНИРУЕМЫЕ РЕЗУЛЬТАТЫ ОБУЧЕНИЯ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результате освоения программы повышения квалификации «Правовое обеспечение безопасности энергетических объектов» должны быть усовершенствованы следующие профессиональные компетенции (ПК): 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1 – готовность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2 – знание состава, структуры и тенденции развития правового обеспечения безопасности энергетических объектов; 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3 – знание тенденций развития правоприменительной практики в области обеспечения безопасности энергетических объектов как опасных производственных объектов, как объектов антитеррористической защищенности, и ее значение в системе правового регулирования в сфере энергетики;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4 – умение применять нормы энергетического права в ситуациях наличия пробелов, противоречий, решать сложные задачи правоприменительной практики в сфере энергетики;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5 – умение аргументировать принятие решения, в том числе, с учетом возможных последствий, предвидеть последствия принятых решений;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6 – владение навыками составления письменных документов юридического содержания; разработки проектов нормативных и индивидуальных правовых актов в области обеспечения безопасности энергетических объектов;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jc w:val="both"/>
        <w:textAlignment w:val="top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ПК 7 – владение навыками составления экспертных заключений; владение навыками изучения правовой действительности с помощью научной методологии в сфере энергетики.</w:t>
      </w:r>
    </w:p>
    <w:p w:rsidR="00DF2DDA" w:rsidRDefault="00DF2DDA" w:rsidP="00DF2DDA">
      <w:pPr>
        <w:shd w:val="clear" w:color="auto" w:fill="FFFFFF"/>
        <w:tabs>
          <w:tab w:val="left" w:pos="1872"/>
        </w:tabs>
        <w:ind w:firstLine="703"/>
        <w:textAlignment w:val="top"/>
        <w:rPr>
          <w:rFonts w:eastAsia="Times New Roman"/>
          <w:sz w:val="24"/>
          <w:szCs w:val="24"/>
        </w:rPr>
      </w:pPr>
    </w:p>
    <w:p w:rsidR="00DF2DDA" w:rsidRDefault="00DF2DDA" w:rsidP="00DF2DDA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5.1 Таблица соответствия действующих профессиональных стандартов образовательной программе </w:t>
      </w:r>
    </w:p>
    <w:p w:rsidR="00DF2DDA" w:rsidRDefault="00DF2DDA" w:rsidP="00DF2DDA">
      <w:pPr>
        <w:shd w:val="clear" w:color="auto" w:fill="FFFFFF"/>
        <w:tabs>
          <w:tab w:val="left" w:pos="1872"/>
        </w:tabs>
        <w:textAlignment w:val="top"/>
        <w:rPr>
          <w:rFonts w:eastAsia="Times New Roman"/>
          <w:b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359"/>
        <w:gridCol w:w="2269"/>
        <w:gridCol w:w="2577"/>
        <w:gridCol w:w="2366"/>
      </w:tblGrid>
      <w:tr w:rsidR="00DF2DDA" w:rsidTr="00DF2D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профессионального стандарта по классификации Минтруда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Область профессиональной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Вид профессиональной деятельности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профессионального стандарта (с последующими изменениями и дополнениями)</w:t>
            </w:r>
          </w:p>
        </w:tc>
      </w:tr>
      <w:tr w:rsidR="00DF2DDA" w:rsidTr="00DF2DD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Правовое обеспечение безопасности энергетических объектов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tabs>
                <w:tab w:val="left" w:pos="1872"/>
              </w:tabs>
              <w:jc w:val="both"/>
              <w:textAlignment w:val="top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Осуществление деятельности по нормативно-правовому обеспечению безопасности энергетических объектов, осуществление экспертной деятельности в сфере энергетики, осуществление консалтинговой деятельности, осуществление претензионно-исковой деятельности в области обеспечения безопасности энергетических объектов </w:t>
            </w:r>
          </w:p>
          <w:p w:rsidR="00DF2DDA" w:rsidRDefault="00DF2DDA">
            <w:pPr>
              <w:tabs>
                <w:tab w:val="left" w:pos="1872"/>
              </w:tabs>
              <w:jc w:val="both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1872"/>
              </w:tabs>
              <w:jc w:val="center"/>
              <w:textAlignment w:val="top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</w:t>
            </w:r>
          </w:p>
        </w:tc>
      </w:tr>
    </w:tbl>
    <w:p w:rsidR="00DF2DDA" w:rsidRDefault="00DF2DDA" w:rsidP="00DF2DDA">
      <w:pPr>
        <w:shd w:val="clear" w:color="auto" w:fill="FFFFFF"/>
        <w:tabs>
          <w:tab w:val="left" w:pos="1872"/>
        </w:tabs>
        <w:textAlignment w:val="top"/>
        <w:rPr>
          <w:rFonts w:eastAsia="Times New Roman"/>
          <w:sz w:val="24"/>
          <w:szCs w:val="24"/>
        </w:rPr>
      </w:pPr>
    </w:p>
    <w:p w:rsidR="00DF2DDA" w:rsidRDefault="00DF2DDA" w:rsidP="00DF2DDA">
      <w:pPr>
        <w:shd w:val="clear" w:color="auto" w:fill="FFFFFF"/>
        <w:tabs>
          <w:tab w:val="left" w:pos="1872"/>
        </w:tabs>
        <w:textAlignment w:val="top"/>
        <w:rPr>
          <w:bCs/>
          <w:sz w:val="24"/>
          <w:szCs w:val="24"/>
        </w:rPr>
      </w:pPr>
    </w:p>
    <w:p w:rsidR="00DF2DDA" w:rsidRDefault="00DF2DDA" w:rsidP="00DF2DDA">
      <w:pPr>
        <w:pStyle w:val="a4"/>
        <w:shd w:val="clear" w:color="auto" w:fill="FFFFFF"/>
        <w:tabs>
          <w:tab w:val="left" w:pos="1872"/>
        </w:tabs>
        <w:spacing w:line="240" w:lineRule="auto"/>
        <w:ind w:left="1070"/>
        <w:jc w:val="center"/>
        <w:textAlignment w:val="top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ОРГАНИЗАЦИОННО-ПЕДАГОГИЧЕСКИЕ УСЛОВИЯ РЕАЛИЗАЦИИ ПРОГРАММЫ</w:t>
      </w:r>
    </w:p>
    <w:p w:rsidR="00DF2DDA" w:rsidRDefault="00DF2DDA" w:rsidP="00DF2DDA">
      <w:pPr>
        <w:ind w:firstLine="705"/>
        <w:jc w:val="both"/>
        <w:textAlignment w:val="baseline"/>
        <w:rPr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6.1.</w:t>
      </w:r>
      <w:r>
        <w:rPr>
          <w:rFonts w:eastAsia="Times New Roman"/>
          <w:b/>
          <w:sz w:val="24"/>
          <w:szCs w:val="24"/>
        </w:rPr>
        <w:tab/>
        <w:t>Кадровое обеспечение программы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Реализацию программы обеспечивают педагогические кадры, имеющие ученую степень. Для проведения практических занятий могут быть привлечены представители энергетических компаний, государственных органов, судейского сообщества.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6.2.</w:t>
      </w:r>
      <w:r>
        <w:rPr>
          <w:rFonts w:eastAsia="Times New Roman"/>
          <w:b/>
          <w:sz w:val="24"/>
          <w:szCs w:val="24"/>
        </w:rPr>
        <w:tab/>
        <w:t>Методические рекомендации преподавателю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видами аудиторной работы слушателей являются: лекции и практические занятия.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ходе лекции преподаватель излагает и разъясняет основные положения темы, связанные с ней теоретические и практические проблемы, дает рекомендации к практической деятельности.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проведении практических занятий преподаватель должен четко формулировать цель занятия и основные проблемные вопросы. После заслушивания ответов слушателей необходимо подчеркнуть положительные аспекты их работы, обратить внимание на имеющиеся неточности (ошибки), дать рекомендации по дальнейшей подготовке. В целях контроля уровня подготовленности слушателей, для закрепления теоретических знаний и привития им навыков работы по предложенной тематике преподаватель в ходе семинарских занятий может проводить устные опросы, давать письменные практические задания, с помощью которых преподаватель проверяет умение применять полученные знания для решения конкретных задач. 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Преподаватель должен осуществлять индивидуальный контроль работы слушателей; давать соответствующие рекомендации; в случае необходимости помочь слушателю составить индивидуальный план работы по изучению данного учебного предмета.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6.3.</w:t>
      </w:r>
      <w:r>
        <w:rPr>
          <w:rFonts w:eastAsia="Times New Roman"/>
          <w:b/>
          <w:sz w:val="24"/>
          <w:szCs w:val="24"/>
        </w:rPr>
        <w:tab/>
        <w:t>Методические указания слушателю</w:t>
      </w: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На лекциях излагаются и разъясняются основные понятия темы, связанные с ней теоретические и практические проблемы, даются рекомендации для самостоятельной работы. Слушатель не имеет права пропускать без уважительных причин аудиторные занятия, в противном случае он может быть не допущен к итоговой аттестации.</w:t>
      </w: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 xml:space="preserve">При изучении дисциплин учебной программы применяются практические занятия, </w:t>
      </w:r>
      <w:r>
        <w:rPr>
          <w:rFonts w:eastAsia="Times New Roman"/>
          <w:spacing w:val="4"/>
          <w:sz w:val="24"/>
          <w:szCs w:val="24"/>
        </w:rPr>
        <w:t xml:space="preserve">цель которых </w:t>
      </w:r>
      <w:r>
        <w:rPr>
          <w:rFonts w:eastAsia="Times New Roman"/>
          <w:spacing w:val="6"/>
          <w:sz w:val="24"/>
          <w:szCs w:val="24"/>
        </w:rPr>
        <w:t xml:space="preserve">заключается в достижении более глубокого, полного усвоения учебного материала, а также развитие навыков самообразования. Кроме того, практические занятия служат формой контроля преподавателем уровня подготовленности слушателя, закрепления изученного материала, выработки навыков и </w:t>
      </w:r>
      <w:r>
        <w:rPr>
          <w:rFonts w:eastAsia="Times New Roman"/>
          <w:spacing w:val="4"/>
          <w:sz w:val="24"/>
          <w:szCs w:val="24"/>
        </w:rPr>
        <w:t xml:space="preserve">умений применять полученные знания для решения </w:t>
      </w:r>
      <w:r>
        <w:rPr>
          <w:rFonts w:eastAsia="Times New Roman"/>
          <w:sz w:val="24"/>
          <w:szCs w:val="24"/>
        </w:rPr>
        <w:t>имеющихся и вновь возникающих профессиональных задач</w:t>
      </w:r>
      <w:r>
        <w:rPr>
          <w:rFonts w:eastAsia="Times New Roman"/>
          <w:spacing w:val="4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pacing w:val="4"/>
          <w:sz w:val="24"/>
          <w:szCs w:val="24"/>
        </w:rPr>
      </w:pPr>
      <w:r>
        <w:rPr>
          <w:rFonts w:eastAsia="Times New Roman"/>
          <w:spacing w:val="4"/>
          <w:sz w:val="24"/>
          <w:szCs w:val="24"/>
        </w:rPr>
        <w:t xml:space="preserve">Завершающей стадией обучения является итоговая аттестация в форме зачета. </w:t>
      </w:r>
    </w:p>
    <w:p w:rsidR="00DF2DDA" w:rsidRDefault="00DF2DDA" w:rsidP="00DF2DDA">
      <w:pPr>
        <w:tabs>
          <w:tab w:val="left" w:pos="0"/>
        </w:tabs>
        <w:jc w:val="both"/>
        <w:rPr>
          <w:rFonts w:eastAsia="Times New Roman"/>
          <w:spacing w:val="4"/>
          <w:sz w:val="24"/>
          <w:szCs w:val="24"/>
        </w:rPr>
      </w:pPr>
    </w:p>
    <w:p w:rsidR="00DF2DDA" w:rsidRDefault="00DF2DDA" w:rsidP="00DF2DDA">
      <w:pPr>
        <w:shd w:val="clear" w:color="auto" w:fill="FFFFFF"/>
        <w:tabs>
          <w:tab w:val="left" w:pos="1872"/>
        </w:tabs>
        <w:ind w:left="1070"/>
        <w:textAlignment w:val="top"/>
        <w:rPr>
          <w:bCs/>
          <w:sz w:val="24"/>
          <w:szCs w:val="24"/>
        </w:rPr>
      </w:pPr>
      <w:r>
        <w:rPr>
          <w:rFonts w:eastAsiaTheme="minorHAnsi"/>
          <w:bCs/>
          <w:sz w:val="24"/>
          <w:szCs w:val="24"/>
          <w:lang w:eastAsia="en-US"/>
        </w:rPr>
        <w:t>7.</w:t>
      </w:r>
      <w:r>
        <w:rPr>
          <w:bCs/>
          <w:sz w:val="24"/>
          <w:szCs w:val="24"/>
        </w:rPr>
        <w:t xml:space="preserve">  ОБРАЗОВАТЕЛЬНЫЕ ТЕХНОЛОГИИ, ТЕКУЩИЙ КОНТРОЛЬ</w:t>
      </w:r>
    </w:p>
    <w:p w:rsidR="00DF2DDA" w:rsidRDefault="00DF2DDA" w:rsidP="00DF2DDA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DF2DDA" w:rsidRDefault="00DF2DDA" w:rsidP="00DF2DDA">
      <w:pPr>
        <w:tabs>
          <w:tab w:val="left" w:pos="0"/>
        </w:tabs>
        <w:ind w:firstLine="709"/>
        <w:jc w:val="both"/>
        <w:rPr>
          <w:rFonts w:eastAsia="Times New Roman"/>
          <w:spacing w:val="6"/>
          <w:sz w:val="24"/>
          <w:szCs w:val="24"/>
        </w:rPr>
      </w:pPr>
      <w:r>
        <w:rPr>
          <w:rFonts w:eastAsia="Times New Roman"/>
          <w:spacing w:val="6"/>
          <w:sz w:val="24"/>
          <w:szCs w:val="24"/>
        </w:rPr>
        <w:t>Для достижения образовательных целей при реализации программы используются современные, эффективные образовательные технологии и средства обучения. Текущий контроль осуществляется в ходе интерактивной работы, выполнения заданий, участия в дискуссиях при проведении практических занятий, выполнении заданий самостоятельной работы.</w:t>
      </w:r>
    </w:p>
    <w:p w:rsidR="00DF2DDA" w:rsidRDefault="00DF2DDA" w:rsidP="00DF2DDA">
      <w:pPr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722"/>
        <w:gridCol w:w="3425"/>
        <w:gridCol w:w="3424"/>
      </w:tblGrid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Дисциплина (модуль)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Образовательные технологии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Текущий контроль</w:t>
            </w:r>
          </w:p>
        </w:tc>
      </w:tr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Правовое обеспечение антитеррористической защищенности энергетических объектов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</w:p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Правовое обеспечение промышленной безопасности опасных производственных энергетических объектов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Доклады-презентации, круглый стол – практика публичного выступления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Активное выступление на круглом столе;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Оппонирование выступлениям других слушателей;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Грамотная аргументация своей позиции в письменной и устной форме;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Комплексный доклад-презентация по теме;</w:t>
            </w:r>
          </w:p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Письменный, устный опрос.</w:t>
            </w:r>
          </w:p>
        </w:tc>
      </w:tr>
      <w:tr w:rsidR="00DF2DDA" w:rsidTr="00DF2DD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pacing w:val="-1"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                     Зачет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jc w:val="both"/>
              <w:textAlignment w:val="baseline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Письменный опрос по пройденным темам</w:t>
            </w:r>
          </w:p>
        </w:tc>
      </w:tr>
    </w:tbl>
    <w:p w:rsidR="00DF2DDA" w:rsidRDefault="00DF2DDA" w:rsidP="00DF2DDA">
      <w:pPr>
        <w:ind w:firstLine="705"/>
        <w:jc w:val="center"/>
        <w:textAlignment w:val="baseline"/>
        <w:rPr>
          <w:rFonts w:eastAsia="Times New Roman"/>
          <w:sz w:val="24"/>
          <w:szCs w:val="24"/>
        </w:rPr>
      </w:pPr>
    </w:p>
    <w:p w:rsidR="00DF2DDA" w:rsidRDefault="00DF2DDA" w:rsidP="00DF2DDA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  <w:r>
        <w:rPr>
          <w:bCs/>
          <w:sz w:val="24"/>
          <w:szCs w:val="24"/>
        </w:rPr>
        <w:t>8. ФОРМЫ АТТЕСТАЦИИ</w:t>
      </w:r>
    </w:p>
    <w:p w:rsidR="00DF2DDA" w:rsidRDefault="00DF2DDA" w:rsidP="00DF2DDA">
      <w:pPr>
        <w:ind w:firstLine="709"/>
        <w:jc w:val="center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8.1. Промежуточная аттестация проводится в форме зачета.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sz w:val="24"/>
          <w:szCs w:val="24"/>
        </w:rPr>
      </w:pPr>
    </w:p>
    <w:tbl>
      <w:tblPr>
        <w:tblW w:w="48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4515"/>
        <w:gridCol w:w="3764"/>
      </w:tblGrid>
      <w:tr w:rsidR="00DF2DDA" w:rsidTr="00DF2DDA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 xml:space="preserve">Шифр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Наименование разделов и дисциплин (модулей)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Перечень примерных вопросов для зачетов</w:t>
            </w:r>
          </w:p>
        </w:tc>
      </w:tr>
      <w:tr w:rsidR="00DF2DDA" w:rsidTr="00DF2DDA">
        <w:trPr>
          <w:trHeight w:val="13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С.01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 1. Правовое обеспечение антитеррористической защищенности энергетических объектов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DDA" w:rsidRDefault="00DF2DDA" w:rsidP="00391CFF">
            <w:pPr>
              <w:pStyle w:val="a4"/>
              <w:numPr>
                <w:ilvl w:val="0"/>
                <w:numId w:val="3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 особенности правового регулирования  в области антитеррористической защищенности энергетических объектов.</w:t>
            </w:r>
          </w:p>
          <w:p w:rsidR="00DF2DDA" w:rsidRDefault="00DF2DDA" w:rsidP="00391CFF">
            <w:pPr>
              <w:pStyle w:val="a4"/>
              <w:numPr>
                <w:ilvl w:val="0"/>
                <w:numId w:val="3"/>
              </w:numPr>
              <w:ind w:left="6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Права и обязанности субъектов топливно-энергетического комплекса в сфере обеспечения безопасности объектов топливно-энергетического комплекса</w:t>
            </w:r>
          </w:p>
          <w:p w:rsidR="00DF2DDA" w:rsidRDefault="00DF2DDA">
            <w:pPr>
              <w:pStyle w:val="a4"/>
              <w:ind w:left="10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DDA" w:rsidRDefault="00DF2DDA" w:rsidP="00391CFF">
            <w:pPr>
              <w:pStyle w:val="a4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федерального государственного надзора за обеспечением безопасности энергетических объектов.</w:t>
            </w:r>
          </w:p>
        </w:tc>
      </w:tr>
      <w:tr w:rsidR="00DF2DDA" w:rsidTr="00DF2DDA">
        <w:trPr>
          <w:trHeight w:val="14"/>
        </w:trPr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tabs>
                <w:tab w:val="left" w:pos="360"/>
              </w:tabs>
              <w:spacing w:line="276" w:lineRule="auto"/>
              <w:ind w:left="-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С.02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sz w:val="24"/>
                <w:szCs w:val="24"/>
                <w:lang w:eastAsia="en-US"/>
              </w:rPr>
              <w:t>Тема 2. Правовое обеспечение промышленной безопасности опасных производственных энергетических объектов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 w:rsidP="00391C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опасного производственного объекта. Классификация энергетических объектов как опасных производственных объектов. </w:t>
            </w:r>
          </w:p>
          <w:p w:rsidR="00DF2DDA" w:rsidRDefault="00DF2DDA" w:rsidP="00391CF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Тенденции совершенствования федеральных норм и правил в области  промышленной безопасности опасных производственных объектов в сфере энергетики.</w:t>
            </w:r>
          </w:p>
          <w:p w:rsidR="00DF2DDA" w:rsidRDefault="00DF2DDA" w:rsidP="00391CFF">
            <w:pPr>
              <w:pStyle w:val="a4"/>
              <w:numPr>
                <w:ilvl w:val="0"/>
                <w:numId w:val="4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федерального государственного надзора в области промышленной безопасности</w:t>
            </w:r>
          </w:p>
        </w:tc>
      </w:tr>
    </w:tbl>
    <w:p w:rsidR="00DF2DDA" w:rsidRDefault="00DF2DDA" w:rsidP="00DF2DDA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DF2DDA" w:rsidRDefault="00DF2DDA" w:rsidP="00DF2DDA">
      <w:pPr>
        <w:shd w:val="clear" w:color="auto" w:fill="FFFFFF"/>
        <w:tabs>
          <w:tab w:val="left" w:pos="1872"/>
        </w:tabs>
        <w:ind w:left="1070"/>
        <w:jc w:val="center"/>
        <w:textAlignment w:val="top"/>
        <w:rPr>
          <w:bCs/>
          <w:sz w:val="24"/>
          <w:szCs w:val="24"/>
        </w:rPr>
      </w:pPr>
    </w:p>
    <w:p w:rsidR="00DF2DDA" w:rsidRDefault="00DF2DDA" w:rsidP="00DF2DDA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8.2 Итоговая аттестация проводится в форме зачета. Зачет проводится в виде письменного опроса. Программа считается освоенной, если обучающийся сдал зачет. Приводится перечень вопросов для письменного опроса, выносимых на аттестацию в форме зачета. </w:t>
      </w:r>
    </w:p>
    <w:p w:rsidR="00DF2DDA" w:rsidRDefault="00DF2DDA" w:rsidP="00DF2DDA">
      <w:pPr>
        <w:ind w:firstLine="709"/>
        <w:jc w:val="both"/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качества знаний обучающегося на зачете определяется с использованием следующей системы оценок:</w:t>
      </w:r>
    </w:p>
    <w:p w:rsidR="00DF2DDA" w:rsidRDefault="00DF2DDA" w:rsidP="00DF2DDA">
      <w:pPr>
        <w:pStyle w:val="a4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«зачтено» предполагает хорошее знание основных терминов и понятий пройденных тем, умение формулировать полные ответы на вопросы при сдаче зачета, умение последовательно излагать материал программы.</w:t>
      </w:r>
    </w:p>
    <w:p w:rsidR="00DF2DDA" w:rsidRDefault="00DF2DDA" w:rsidP="00DF2DDA">
      <w:pPr>
        <w:pStyle w:val="a4"/>
        <w:numPr>
          <w:ilvl w:val="0"/>
          <w:numId w:val="5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«не зачтено» предполагает неудовлетворительное знание основных понятий программы, неумение формулировать отдельные выводы, отсутствие логики и последовательности в изложении материала.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Примерные вопросы для итоговой аттестации:</w:t>
      </w:r>
    </w:p>
    <w:p w:rsidR="00DF2DDA" w:rsidRDefault="00DF2DDA" w:rsidP="00DF2DDA">
      <w:pPr>
        <w:ind w:firstLine="705"/>
        <w:jc w:val="both"/>
        <w:textAlignment w:val="baseline"/>
        <w:rPr>
          <w:rFonts w:eastAsia="Times New Roman"/>
          <w:b/>
          <w:sz w:val="24"/>
          <w:szCs w:val="24"/>
        </w:rPr>
      </w:pPr>
    </w:p>
    <w:p w:rsidR="00DF2DDA" w:rsidRDefault="00DF2DDA" w:rsidP="00DF2D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Источники правового регулирования в области антитеррористической защищенности энергетических объектов. </w:t>
      </w:r>
    </w:p>
    <w:p w:rsidR="00DF2DDA" w:rsidRDefault="00DF2DDA" w:rsidP="00DF2D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Правовой режим энергетических объектов как объектов антитеррористической защищенности. Особенности категорирования объектов топливно-энергетического комплекса в зависимости от степени потенциальной опасности. </w:t>
      </w:r>
    </w:p>
    <w:p w:rsidR="00DF2DDA" w:rsidRDefault="00DF2DDA" w:rsidP="00DF2DDA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3. Особенности осуществления федерального государственного надзора за обеспечением безопасности энергетических объектов.</w:t>
      </w:r>
    </w:p>
    <w:p w:rsidR="00DF2DDA" w:rsidRDefault="00DF2DDA" w:rsidP="00DF2D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Источники правового регулирования в области промышленной безопасности опасных производственных объектов топливно-энергетического комплекса. Особенности идентификации опасных производственных объектов топливно-энергетического комплекса и присвоение классов опасности. </w:t>
      </w:r>
    </w:p>
    <w:p w:rsidR="00DF2DDA" w:rsidRDefault="00DF2DDA" w:rsidP="00DF2DD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 Особенности осуществления федерального государственного надзора в области промышленной безопасности объектов топливно-энергетического комплекса.</w:t>
      </w:r>
    </w:p>
    <w:p w:rsidR="00DF2DDA" w:rsidRDefault="00DF2DDA" w:rsidP="00DF2DDA">
      <w:pPr>
        <w:jc w:val="both"/>
        <w:rPr>
          <w:rFonts w:eastAsia="Times New Roman"/>
          <w:sz w:val="24"/>
          <w:szCs w:val="24"/>
        </w:rPr>
      </w:pPr>
    </w:p>
    <w:p w:rsidR="00DF2DDA" w:rsidRDefault="00DF2DDA" w:rsidP="00DF2DDA">
      <w:pPr>
        <w:numPr>
          <w:ilvl w:val="0"/>
          <w:numId w:val="6"/>
        </w:numPr>
        <w:shd w:val="clear" w:color="auto" w:fill="FFFFFF"/>
        <w:ind w:left="1070" w:firstLine="0"/>
        <w:jc w:val="center"/>
        <w:textAlignment w:val="top"/>
        <w:rPr>
          <w:bCs/>
          <w:sz w:val="24"/>
          <w:szCs w:val="24"/>
        </w:rPr>
      </w:pPr>
      <w:bookmarkStart w:id="1" w:name="_Toc61021477"/>
      <w:r>
        <w:rPr>
          <w:bCs/>
          <w:sz w:val="24"/>
          <w:szCs w:val="24"/>
        </w:rPr>
        <w:t xml:space="preserve">РЕСУРСНОЕ ОБЕСПЕЧЕНИЕ </w:t>
      </w:r>
      <w:bookmarkEnd w:id="1"/>
      <w:r>
        <w:rPr>
          <w:bCs/>
          <w:sz w:val="24"/>
          <w:szCs w:val="24"/>
        </w:rPr>
        <w:t>ПРОГРАММЫ</w:t>
      </w:r>
    </w:p>
    <w:p w:rsidR="00DF2DDA" w:rsidRDefault="00DF2DDA" w:rsidP="00DF2DDA">
      <w:pPr>
        <w:shd w:val="clear" w:color="auto" w:fill="FFFFFF"/>
        <w:ind w:left="1070"/>
        <w:textAlignment w:val="top"/>
        <w:rPr>
          <w:bCs/>
          <w:sz w:val="24"/>
          <w:szCs w:val="24"/>
        </w:rPr>
      </w:pPr>
    </w:p>
    <w:p w:rsidR="00DF2DDA" w:rsidRDefault="00DF2DDA" w:rsidP="00DF2DDA">
      <w:pPr>
        <w:numPr>
          <w:ilvl w:val="1"/>
          <w:numId w:val="6"/>
        </w:numPr>
        <w:ind w:left="0" w:firstLine="705"/>
        <w:jc w:val="both"/>
        <w:textAlignment w:val="baseline"/>
        <w:rPr>
          <w:rFonts w:eastAsia="Times New Roman"/>
          <w:b/>
          <w:sz w:val="24"/>
          <w:szCs w:val="24"/>
        </w:rPr>
      </w:pPr>
      <w:bookmarkStart w:id="2" w:name="_Toc61021478"/>
      <w:bookmarkStart w:id="3" w:name="_Toc508197112"/>
      <w:r>
        <w:rPr>
          <w:rFonts w:eastAsia="Times New Roman"/>
          <w:b/>
          <w:sz w:val="24"/>
          <w:szCs w:val="24"/>
        </w:rPr>
        <w:t xml:space="preserve">Учебно-методическое и информационное обеспечение </w:t>
      </w:r>
      <w:bookmarkEnd w:id="2"/>
      <w:bookmarkEnd w:id="3"/>
      <w:r>
        <w:rPr>
          <w:rFonts w:eastAsia="Times New Roman"/>
          <w:b/>
          <w:sz w:val="24"/>
          <w:szCs w:val="24"/>
        </w:rPr>
        <w:t>программы</w:t>
      </w:r>
    </w:p>
    <w:p w:rsidR="00DF2DDA" w:rsidRDefault="00DF2DDA" w:rsidP="00DF2DDA">
      <w:pPr>
        <w:widowControl w:val="0"/>
        <w:autoSpaceDE w:val="0"/>
        <w:autoSpaceDN w:val="0"/>
        <w:ind w:firstLine="709"/>
        <w:jc w:val="both"/>
        <w:rPr>
          <w:rFonts w:eastAsia="Times New Roman"/>
          <w:b/>
          <w:bCs/>
          <w:sz w:val="24"/>
          <w:szCs w:val="24"/>
          <w:lang w:bidi="ru-RU"/>
        </w:rPr>
      </w:pPr>
    </w:p>
    <w:p w:rsidR="00DF2DDA" w:rsidRDefault="00DF2DDA" w:rsidP="00DF2DDA">
      <w:pPr>
        <w:widowControl w:val="0"/>
        <w:autoSpaceDE w:val="0"/>
        <w:autoSpaceDN w:val="0"/>
        <w:ind w:firstLine="709"/>
        <w:jc w:val="both"/>
        <w:rPr>
          <w:rFonts w:eastAsia="Times New Roman"/>
          <w:sz w:val="24"/>
          <w:szCs w:val="24"/>
          <w:lang w:bidi="ru-RU"/>
        </w:rPr>
      </w:pPr>
      <w:bookmarkStart w:id="4" w:name="_Toc476906796"/>
      <w:r>
        <w:rPr>
          <w:rFonts w:eastAsia="Times New Roman"/>
          <w:sz w:val="24"/>
          <w:szCs w:val="24"/>
          <w:lang w:bidi="ru-RU"/>
        </w:rPr>
        <w:t>Таблица 9.1.1 – Учебно-методическое обеспечение программы</w:t>
      </w:r>
    </w:p>
    <w:tbl>
      <w:tblPr>
        <w:tblStyle w:val="TableNormal9"/>
        <w:tblW w:w="9645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7"/>
        <w:gridCol w:w="2128"/>
      </w:tblGrid>
      <w:tr w:rsidR="00DF2DDA" w:rsidTr="00DF2DDA">
        <w:trPr>
          <w:trHeight w:val="75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Pr="00DF2DDA" w:rsidRDefault="00DF2DDA">
            <w:pPr>
              <w:ind w:right="163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Библиографическое описание издания </w:t>
            </w:r>
          </w:p>
          <w:p w:rsidR="00DF2DDA" w:rsidRPr="00DF2DDA" w:rsidRDefault="00DF2DDA">
            <w:pPr>
              <w:ind w:right="163"/>
              <w:jc w:val="center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>(автор, заглавие, вид, место и год издания, кол. стр.)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spacing w:before="127"/>
              <w:ind w:left="-12" w:right="41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Электронные ресурсы</w:t>
            </w:r>
          </w:p>
        </w:tc>
      </w:tr>
      <w:tr w:rsidR="00DF2DDA" w:rsidTr="00DF2DDA">
        <w:trPr>
          <w:trHeight w:val="78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57" w:right="5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Актуальные проблемы энергетического права: учебник / [В.В. Романова, И.А. Кашликова, А.А. Пахомов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В.В. Романовой; Москва: Издательство «Юрист», 2015. – 379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F2DDA" w:rsidTr="00DF2DDA">
        <w:trPr>
          <w:trHeight w:val="656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Pr="00DF2DDA" w:rsidRDefault="00DF2DDA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>Романова В.В. Энергетический правопорядок: современное состояние и задачи: [монография] /– Москва: Издательство «Юрист», 2016. – 253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F2DDA" w:rsidTr="00DF2DDA">
        <w:trPr>
          <w:trHeight w:val="85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Pr="00DF2DDA" w:rsidRDefault="00DF2DDA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Романова В.В. Энергетическое право: учебник для подготовки кадров высшей квалификации / В.В. Романова. — Москва: Издательская группа «Юрист», 2021. — 288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F2DDA" w:rsidTr="00DF2DDA">
        <w:trPr>
          <w:trHeight w:val="84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Pr="00DF2DDA" w:rsidRDefault="00DF2DDA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Энергетические рынки: проблемы и задачи правового регулирования: монография / В.В. Романова, А.Б. Бондаренко, А.Б. Ананьев [и др.] ; под редакцией В.В. Романовой. — Москва: Издательство «Юрист», 2018. — 240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F2DDA" w:rsidTr="00DF2DDA">
        <w:trPr>
          <w:trHeight w:val="118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Pr="00DF2DDA" w:rsidRDefault="00DF2DDA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задачи правового обеспечения энергетической безопасности и защиты прав участников энергетических рынков : монография / В.В. Романова, И.В. Гудков, Ю.В. Липин [и др.] ; под редакцией В.В. Романовой. — Москва: Издательская группа  «Юрист», 2019. — 264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c</w:t>
            </w: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F2DDA" w:rsidTr="00DF2DDA">
        <w:trPr>
          <w:trHeight w:val="42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Pr="00DF2DDA" w:rsidRDefault="00DF2DDA">
            <w:pPr>
              <w:ind w:left="57" w:right="57"/>
              <w:rPr>
                <w:rFonts w:eastAsia="Times New Roman"/>
                <w:sz w:val="24"/>
                <w:szCs w:val="24"/>
                <w:lang w:val="ru-RU" w:eastAsia="en-US" w:bidi="ru-RU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Энергетическое право. Общая часть. Особенная часть: учебник / [В.В. Романова, А.А. Устинов, Н.В. Смирнов и др.]; под ред. В.В. Романовой. Изд. 2-е, перераб. и доп. – Москва: Издательство «Юрист», 2015. – 677 с.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  <w:tr w:rsidR="00DF2DDA" w:rsidTr="00DF2DDA">
        <w:trPr>
          <w:trHeight w:val="8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tabs>
                <w:tab w:val="left" w:pos="993"/>
              </w:tabs>
              <w:ind w:left="57"/>
              <w:rPr>
                <w:sz w:val="24"/>
                <w:szCs w:val="24"/>
                <w:lang w:eastAsia="en-US"/>
              </w:rPr>
            </w:pPr>
            <w:r w:rsidRPr="00DF2DDA">
              <w:rPr>
                <w:rFonts w:eastAsia="Times New Roman"/>
                <w:sz w:val="24"/>
                <w:szCs w:val="24"/>
                <w:lang w:val="ru-RU" w:eastAsia="en-US" w:bidi="ru-RU"/>
              </w:rPr>
              <w:t xml:space="preserve">Проблемы и тенденции правового регулирования в области использования атомной энергии: монография / [В.В. Романова, К.А. Стальмахов, А.А. Шкарбанов и др.]; под ред.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В.В. Романовой. Москва: Издательство «Юрист», 2017.— 223 с.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ind w:left="-57" w:right="-57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ЭБС </w:t>
            </w:r>
          </w:p>
          <w:p w:rsidR="00DF2DDA" w:rsidRDefault="00DF2DDA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IPR-books</w:t>
            </w:r>
          </w:p>
        </w:tc>
      </w:tr>
    </w:tbl>
    <w:p w:rsidR="00DF2DDA" w:rsidRDefault="00DF2DDA" w:rsidP="00DF2DDA">
      <w:pPr>
        <w:widowControl w:val="0"/>
        <w:autoSpaceDE w:val="0"/>
        <w:autoSpaceDN w:val="0"/>
        <w:spacing w:before="6"/>
        <w:rPr>
          <w:rFonts w:eastAsia="Times New Roman"/>
          <w:sz w:val="24"/>
          <w:szCs w:val="24"/>
          <w:lang w:bidi="ru-RU"/>
        </w:rPr>
      </w:pPr>
      <w:bookmarkStart w:id="5" w:name="_Hlk23340624"/>
    </w:p>
    <w:bookmarkEnd w:id="5"/>
    <w:p w:rsidR="00DF2DDA" w:rsidRDefault="00DF2DDA" w:rsidP="00DF2DD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Таблица 9.1.2 – Перечень современных профессиональных баз данных (СПБД)</w:t>
      </w:r>
    </w:p>
    <w:p w:rsidR="00DF2DDA" w:rsidRDefault="00DF2DDA" w:rsidP="00DF2DD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9263"/>
      </w:tblGrid>
      <w:tr w:rsidR="00DF2DD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СПБД </w:t>
            </w:r>
          </w:p>
        </w:tc>
      </w:tr>
      <w:tr w:rsidR="00DF2DD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библиотека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Grebennikon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.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ru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8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grebennikon.ru</w:t>
              </w:r>
            </w:hyperlink>
          </w:p>
        </w:tc>
      </w:tr>
      <w:tr w:rsidR="00DF2DD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учная электронная библиотека </w:t>
            </w:r>
            <w:r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  <w:t>eLIBRARRY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 – </w:t>
            </w:r>
            <w:hyperlink r:id="rId9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elibrary.ru</w:t>
              </w:r>
            </w:hyperlink>
          </w:p>
        </w:tc>
      </w:tr>
      <w:tr w:rsidR="00DF2DD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Научная электронная библиотека КиберЛени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ка – </w:t>
            </w:r>
            <w:hyperlink r:id="rId10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cyberleninka.ru</w:t>
              </w:r>
            </w:hyperlink>
          </w:p>
        </w:tc>
      </w:tr>
      <w:tr w:rsidR="00DF2DD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База данных ПОЛПРЕД Справочники – </w:t>
            </w:r>
            <w:hyperlink r:id="rId11" w:history="1">
              <w:r>
                <w:rPr>
                  <w:rStyle w:val="a3"/>
                  <w:rFonts w:eastAsia="Times New Roman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sz w:val="24"/>
                  <w:szCs w:val="24"/>
                  <w:lang w:eastAsia="en-US" w:bidi="ru-RU"/>
                </w:rPr>
                <w:t>.</w:t>
              </w:r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polpred.com</w:t>
              </w:r>
            </w:hyperlink>
          </w:p>
        </w:tc>
      </w:tr>
      <w:tr w:rsidR="00DF2DD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Scopus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– </w:t>
            </w:r>
            <w:hyperlink r:id="rId12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https://www.scopus.com</w:t>
              </w:r>
            </w:hyperlink>
          </w:p>
        </w:tc>
      </w:tr>
      <w:tr w:rsidR="00DF2DD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Международная реферативная база данных научных изданий </w:t>
            </w:r>
            <w:r>
              <w:rPr>
                <w:rFonts w:eastAsia="Times New Roman"/>
                <w:color w:val="0D0D0D"/>
                <w:sz w:val="24"/>
                <w:szCs w:val="24"/>
                <w:shd w:val="clear" w:color="auto" w:fill="FFFFFF"/>
                <w:lang w:eastAsia="en-US" w:bidi="ru-RU"/>
              </w:rPr>
              <w:t xml:space="preserve">Web of Science – </w:t>
            </w:r>
            <w:hyperlink r:id="rId13" w:history="1">
              <w:r>
                <w:rPr>
                  <w:rStyle w:val="a3"/>
                  <w:rFonts w:eastAsia="Times New Roman"/>
                  <w:color w:val="0D0D0D"/>
                  <w:sz w:val="24"/>
                  <w:szCs w:val="24"/>
                  <w:bdr w:val="none" w:sz="0" w:space="0" w:color="auto" w:frame="1"/>
                  <w:shd w:val="clear" w:color="auto" w:fill="FFFFFF"/>
                  <w:lang w:eastAsia="en-US" w:bidi="ru-RU"/>
                </w:rPr>
                <w:t>http://webofscience.com</w:t>
              </w:r>
            </w:hyperlink>
          </w:p>
        </w:tc>
      </w:tr>
      <w:tr w:rsidR="00DF2DDA" w:rsidRPr="00651BFA" w:rsidTr="00DF2DDA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База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данных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Books, Papers &amp; Statistics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на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платформе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OECD iLibrary – </w:t>
            </w:r>
            <w:hyperlink r:id="rId14" w:history="1">
              <w:r>
                <w:rPr>
                  <w:rStyle w:val="a3"/>
                  <w:rFonts w:eastAsia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 w:eastAsia="en-US" w:bidi="ru-RU"/>
                </w:rPr>
                <w:t>www.oecd-ilibrary.org</w:t>
              </w:r>
            </w:hyperlink>
          </w:p>
        </w:tc>
      </w:tr>
    </w:tbl>
    <w:p w:rsidR="00DF2DDA" w:rsidRDefault="00DF2DDA" w:rsidP="00DF2DDA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eastAsia="en-US" w:bidi="ru-RU"/>
        </w:rPr>
      </w:pPr>
    </w:p>
    <w:p w:rsidR="00DF2DDA" w:rsidRDefault="00DF2DDA" w:rsidP="00DF2DD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 xml:space="preserve">Таблица 9.1.3 – Перечень информационных справочных систем (ИСС) </w:t>
      </w:r>
    </w:p>
    <w:p w:rsidR="00DF2DDA" w:rsidRDefault="00DF2DDA" w:rsidP="00DF2DDA">
      <w:pPr>
        <w:widowControl w:val="0"/>
        <w:autoSpaceDE w:val="0"/>
        <w:autoSpaceDN w:val="0"/>
        <w:rPr>
          <w:rFonts w:eastAsia="Times New Roman"/>
          <w:sz w:val="24"/>
          <w:szCs w:val="24"/>
          <w:lang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9251"/>
      </w:tblGrid>
      <w:tr w:rsidR="00DF2DDA" w:rsidTr="00DF2D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bookmarkStart w:id="6" w:name="_Hlk64378507"/>
            <w:r>
              <w:rPr>
                <w:rFonts w:eastAsia="Times New Roman"/>
                <w:sz w:val="24"/>
                <w:szCs w:val="24"/>
                <w:lang w:eastAsia="en-US" w:bidi="ru-RU"/>
              </w:rPr>
              <w:t>№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Наименование ИСС </w:t>
            </w:r>
          </w:p>
        </w:tc>
      </w:tr>
      <w:tr w:rsidR="00DF2DDA" w:rsidTr="00DF2D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КонсультантПлюс (инсталлированный ресурс АНО НИЦ или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www.consultant.ru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>)</w:t>
            </w:r>
          </w:p>
        </w:tc>
      </w:tr>
      <w:tr w:rsidR="00DF2DDA" w:rsidTr="00DF2D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Справочная правовая система «ГАРАНТ» - </w:t>
            </w:r>
            <w:hyperlink r:id="rId15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http://www.garant.ru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F2DDA" w:rsidTr="00DF2D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Информационно-справочная система «Ко</w:t>
            </w:r>
            <w:r>
              <w:rPr>
                <w:rFonts w:eastAsia="Times New Roman"/>
                <w:color w:val="0D0D0D"/>
                <w:sz w:val="24"/>
                <w:szCs w:val="24"/>
                <w:lang w:eastAsia="en-US" w:bidi="ru-RU"/>
              </w:rPr>
              <w:t xml:space="preserve">декс» - </w:t>
            </w:r>
            <w:hyperlink r:id="rId16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.kodeks.ru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F2DDA" w:rsidTr="00DF2D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val="en-US"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IPR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-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books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.ru - </w:t>
            </w:r>
            <w:hyperlink r:id="rId17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http://www.iprbookshop.ru/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F2DDA" w:rsidTr="00DF2D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BOOK.ru - </w:t>
            </w:r>
            <w:hyperlink r:id="rId18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http://www.book.ru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F2DDA" w:rsidTr="00DF2DDA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Электронная библиотечная система ЭБС ЮРАЙТ – </w:t>
            </w:r>
            <w:hyperlink r:id="rId19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.urait.ru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tr w:rsidR="00DF2DDA" w:rsidTr="00DF2DDA">
        <w:trPr>
          <w:trHeight w:val="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9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rFonts w:eastAsia="Times New Roman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sz w:val="24"/>
                <w:szCs w:val="24"/>
                <w:lang w:eastAsia="en-US" w:bidi="ru-RU"/>
              </w:rPr>
              <w:t>Электронная библиотечная система ЗНАНИУМ (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ZNANIUM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) - </w:t>
            </w:r>
            <w:hyperlink r:id="rId20" w:history="1"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http://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val="en-US" w:eastAsia="en-US" w:bidi="ru-RU"/>
                </w:rPr>
                <w:t>www</w:t>
              </w:r>
              <w:r>
                <w:rPr>
                  <w:rStyle w:val="a3"/>
                  <w:rFonts w:eastAsia="Times New Roman"/>
                  <w:color w:val="0000FF"/>
                  <w:sz w:val="24"/>
                  <w:szCs w:val="24"/>
                  <w:lang w:eastAsia="en-US" w:bidi="ru-RU"/>
                </w:rPr>
                <w:t>.znanium.com</w:t>
              </w:r>
            </w:hyperlink>
            <w:r>
              <w:rPr>
                <w:rFonts w:eastAsia="Times New Roman"/>
                <w:sz w:val="24"/>
                <w:szCs w:val="24"/>
                <w:lang w:eastAsia="en-US" w:bidi="ru-RU"/>
              </w:rPr>
              <w:t xml:space="preserve"> </w:t>
            </w:r>
          </w:p>
        </w:tc>
      </w:tr>
      <w:bookmarkEnd w:id="6"/>
    </w:tbl>
    <w:p w:rsidR="00DF2DDA" w:rsidRDefault="00DF2DDA" w:rsidP="00DF2DDA">
      <w:pPr>
        <w:widowControl w:val="0"/>
        <w:autoSpaceDE w:val="0"/>
        <w:autoSpaceDN w:val="0"/>
        <w:jc w:val="both"/>
        <w:rPr>
          <w:rFonts w:eastAsia="Times New Roman"/>
          <w:sz w:val="24"/>
          <w:szCs w:val="24"/>
          <w:lang w:bidi="ru-RU"/>
        </w:rPr>
      </w:pPr>
    </w:p>
    <w:p w:rsidR="00DF2DDA" w:rsidRDefault="00DF2DDA" w:rsidP="00DF2DDA">
      <w:pPr>
        <w:keepNext/>
        <w:widowControl w:val="0"/>
        <w:autoSpaceDE w:val="0"/>
        <w:autoSpaceDN w:val="0"/>
        <w:spacing w:after="160"/>
        <w:jc w:val="center"/>
        <w:outlineLvl w:val="2"/>
        <w:rPr>
          <w:rFonts w:eastAsia="Times New Roman"/>
          <w:b/>
          <w:sz w:val="24"/>
          <w:szCs w:val="24"/>
        </w:rPr>
      </w:pPr>
      <w:bookmarkStart w:id="7" w:name="_Toc61021479"/>
      <w:bookmarkStart w:id="8" w:name="_Toc43382412"/>
      <w:bookmarkStart w:id="9" w:name="_Toc508197113"/>
      <w:r>
        <w:rPr>
          <w:rFonts w:eastAsia="Times New Roman"/>
          <w:b/>
          <w:sz w:val="24"/>
          <w:szCs w:val="24"/>
        </w:rPr>
        <w:t>9.2 Материально-техническое обеспечение учебного процесса</w:t>
      </w:r>
      <w:bookmarkEnd w:id="7"/>
      <w:bookmarkEnd w:id="8"/>
      <w:bookmarkEnd w:id="9"/>
    </w:p>
    <w:p w:rsidR="00DF2DDA" w:rsidRDefault="00DF2DDA" w:rsidP="00DF2DDA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реализации данной программы созданы условия с использованием дистанционных образовательных технологий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для самостоятельной работы</w:t>
      </w:r>
      <w:r>
        <w:rPr>
          <w:rFonts w:eastAsia="Times New Roman"/>
          <w:i/>
          <w:sz w:val="24"/>
          <w:szCs w:val="24"/>
        </w:rPr>
        <w:t xml:space="preserve">. </w:t>
      </w:r>
    </w:p>
    <w:p w:rsidR="00DF2DDA" w:rsidRDefault="00DF2DDA" w:rsidP="00DF2DDA">
      <w:pPr>
        <w:ind w:firstLine="709"/>
        <w:jc w:val="both"/>
        <w:rPr>
          <w:rFonts w:eastAsia="Times New Roman"/>
          <w:sz w:val="24"/>
          <w:szCs w:val="24"/>
          <w:lang w:eastAsia="en-US" w:bidi="ru-RU"/>
        </w:rPr>
      </w:pPr>
    </w:p>
    <w:p w:rsidR="00DF2DDA" w:rsidRDefault="00DF2DDA" w:rsidP="00DF2DDA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Таблица 9.2.1 – Перечень программного обеспечения (ПО)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9129"/>
      </w:tblGrid>
      <w:tr w:rsidR="00DF2DDA" w:rsidTr="00DF2DDA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№ п/п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US" w:bidi="ru-RU"/>
              </w:rPr>
              <w:t>Наименование ПО</w:t>
            </w:r>
          </w:p>
        </w:tc>
      </w:tr>
      <w:tr w:rsidR="00DF2DDA" w:rsidRPr="00651BFA" w:rsidTr="00DF2DD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Office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DF2DDA" w:rsidRPr="00651BFA" w:rsidTr="00DF2DD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eastAsia="en-US" w:bidi="ru-RU"/>
              </w:rPr>
            </w:pPr>
            <w:r>
              <w:rPr>
                <w:iCs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 xml:space="preserve">Microsoft Windows Professional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от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04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марта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 xml:space="preserve"> 2021 </w:t>
            </w:r>
            <w:r>
              <w:rPr>
                <w:rFonts w:eastAsia="Times New Roman"/>
                <w:sz w:val="24"/>
                <w:szCs w:val="24"/>
                <w:lang w:eastAsia="en-US" w:bidi="ru-RU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 w:eastAsia="en-US" w:bidi="ru-RU"/>
              </w:rPr>
              <w:t>. №V5691687</w:t>
            </w:r>
          </w:p>
        </w:tc>
      </w:tr>
      <w:tr w:rsidR="00DF2DDA" w:rsidTr="00DF2DDA">
        <w:trPr>
          <w:trHeight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Zoom (freeware)</w:t>
            </w:r>
          </w:p>
        </w:tc>
      </w:tr>
      <w:tr w:rsidR="00DF2DDA" w:rsidTr="00DF2DDA">
        <w:trPr>
          <w:trHeight w:val="13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iCs/>
                <w:sz w:val="24"/>
                <w:szCs w:val="24"/>
                <w:lang w:val="en-US" w:eastAsia="en-US" w:bidi="ru-RU"/>
              </w:rPr>
            </w:pPr>
            <w:r>
              <w:rPr>
                <w:iCs/>
                <w:sz w:val="24"/>
                <w:szCs w:val="24"/>
                <w:lang w:val="en-US" w:eastAsia="en-US" w:bidi="ru-RU"/>
              </w:rPr>
              <w:t>4</w:t>
            </w:r>
          </w:p>
        </w:tc>
        <w:tc>
          <w:tcPr>
            <w:tcW w:w="4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DDA" w:rsidRDefault="00DF2DDA">
            <w:pPr>
              <w:widowControl w:val="0"/>
              <w:autoSpaceDE w:val="0"/>
              <w:autoSpaceDN w:val="0"/>
              <w:spacing w:line="276" w:lineRule="auto"/>
              <w:rPr>
                <w:sz w:val="24"/>
                <w:szCs w:val="24"/>
                <w:lang w:val="en-US" w:eastAsia="en-US" w:bidi="ru-RU"/>
              </w:rPr>
            </w:pPr>
            <w:r>
              <w:rPr>
                <w:sz w:val="24"/>
                <w:szCs w:val="24"/>
                <w:lang w:val="en-US" w:eastAsia="en-US" w:bidi="ru-RU"/>
              </w:rPr>
              <w:t>7-Zip</w:t>
            </w:r>
            <w:r>
              <w:rPr>
                <w:sz w:val="24"/>
                <w:szCs w:val="24"/>
                <w:lang w:eastAsia="en-US" w:bidi="ru-RU"/>
              </w:rPr>
              <w:t xml:space="preserve">, </w:t>
            </w:r>
            <w:r>
              <w:rPr>
                <w:sz w:val="24"/>
                <w:szCs w:val="24"/>
                <w:lang w:val="en-US" w:eastAsia="en-US" w:bidi="ru-RU"/>
              </w:rPr>
              <w:t>WinRar (freeware)</w:t>
            </w:r>
          </w:p>
        </w:tc>
      </w:tr>
    </w:tbl>
    <w:p w:rsidR="00DF2DDA" w:rsidRDefault="00DF2DDA" w:rsidP="00DF2DDA">
      <w:pPr>
        <w:widowControl w:val="0"/>
        <w:autoSpaceDE w:val="0"/>
        <w:autoSpaceDN w:val="0"/>
        <w:rPr>
          <w:rFonts w:eastAsia="Times New Roman"/>
          <w:sz w:val="24"/>
          <w:szCs w:val="24"/>
          <w:lang w:val="en-US" w:bidi="ru-RU"/>
        </w:rPr>
      </w:pPr>
    </w:p>
    <w:bookmarkEnd w:id="4"/>
    <w:p w:rsidR="00DF2DDA" w:rsidRDefault="00DF2DDA" w:rsidP="00DF2DDA">
      <w:pPr>
        <w:rPr>
          <w:sz w:val="24"/>
          <w:szCs w:val="24"/>
        </w:rPr>
      </w:pPr>
    </w:p>
    <w:p w:rsidR="00165EDF" w:rsidRDefault="00651BFA">
      <w:r>
        <w:rPr>
          <w:color w:val="000000"/>
          <w:sz w:val="24"/>
          <w:szCs w:val="24"/>
          <w:shd w:val="clear" w:color="auto" w:fill="FFFFFF"/>
        </w:rPr>
        <w:t>© Романова В.В., 2022</w:t>
      </w:r>
      <w:bookmarkStart w:id="10" w:name="_GoBack"/>
      <w:bookmarkEnd w:id="10"/>
    </w:p>
    <w:sectPr w:rsidR="00165EDF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617" w:rsidRDefault="00A82617" w:rsidP="002B4A43">
      <w:r>
        <w:separator/>
      </w:r>
    </w:p>
  </w:endnote>
  <w:endnote w:type="continuationSeparator" w:id="0">
    <w:p w:rsidR="00A82617" w:rsidRDefault="00A82617" w:rsidP="002B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79703"/>
      <w:docPartObj>
        <w:docPartGallery w:val="Page Numbers (Bottom of Page)"/>
        <w:docPartUnique/>
      </w:docPartObj>
    </w:sdtPr>
    <w:sdtEndPr/>
    <w:sdtContent>
      <w:p w:rsidR="002B4A43" w:rsidRDefault="002B4A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617">
          <w:rPr>
            <w:noProof/>
          </w:rPr>
          <w:t>1</w:t>
        </w:r>
        <w:r>
          <w:fldChar w:fldCharType="end"/>
        </w:r>
      </w:p>
    </w:sdtContent>
  </w:sdt>
  <w:p w:rsidR="002B4A43" w:rsidRDefault="002B4A4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617" w:rsidRDefault="00A82617" w:rsidP="002B4A43">
      <w:r>
        <w:separator/>
      </w:r>
    </w:p>
  </w:footnote>
  <w:footnote w:type="continuationSeparator" w:id="0">
    <w:p w:rsidR="00A82617" w:rsidRDefault="00A82617" w:rsidP="002B4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83E1C"/>
    <w:multiLevelType w:val="hybridMultilevel"/>
    <w:tmpl w:val="B8460AC2"/>
    <w:lvl w:ilvl="0" w:tplc="6994D50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FB454AC"/>
    <w:multiLevelType w:val="hybridMultilevel"/>
    <w:tmpl w:val="F6304DEC"/>
    <w:lvl w:ilvl="0" w:tplc="BD946D0C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16F3A5B"/>
    <w:multiLevelType w:val="hybridMultilevel"/>
    <w:tmpl w:val="CEC4ED76"/>
    <w:lvl w:ilvl="0" w:tplc="35926D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E3373"/>
    <w:multiLevelType w:val="hybridMultilevel"/>
    <w:tmpl w:val="D70A249A"/>
    <w:lvl w:ilvl="0" w:tplc="BE625A8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C7756"/>
    <w:multiLevelType w:val="hybridMultilevel"/>
    <w:tmpl w:val="7FF4474A"/>
    <w:lvl w:ilvl="0" w:tplc="E6525E5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752EDE"/>
    <w:multiLevelType w:val="multilevel"/>
    <w:tmpl w:val="5B32F1A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8214" w:hanging="180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71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89"/>
    <w:rsid w:val="00165EDF"/>
    <w:rsid w:val="002B4A43"/>
    <w:rsid w:val="00444E18"/>
    <w:rsid w:val="00600AFD"/>
    <w:rsid w:val="00651BFA"/>
    <w:rsid w:val="007A7D6C"/>
    <w:rsid w:val="00A82617"/>
    <w:rsid w:val="00AD1D81"/>
    <w:rsid w:val="00B23C89"/>
    <w:rsid w:val="00CC31F9"/>
    <w:rsid w:val="00DF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F2D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D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qFormat/>
    <w:rsid w:val="00DF2DDA"/>
    <w:pPr>
      <w:widowControl w:val="0"/>
      <w:autoSpaceDE w:val="0"/>
      <w:autoSpaceDN w:val="0"/>
      <w:adjustRightInd w:val="0"/>
      <w:spacing w:line="335" w:lineRule="exact"/>
      <w:jc w:val="center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DF2DD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75">
    <w:name w:val="Font Style75"/>
    <w:uiPriority w:val="99"/>
    <w:qFormat/>
    <w:rsid w:val="00DF2DDA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DF2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DF2D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4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A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4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A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A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AFD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D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2D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F2D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2D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3">
    <w:name w:val="Style13"/>
    <w:basedOn w:val="a"/>
    <w:uiPriority w:val="99"/>
    <w:qFormat/>
    <w:rsid w:val="00DF2DDA"/>
    <w:pPr>
      <w:widowControl w:val="0"/>
      <w:autoSpaceDE w:val="0"/>
      <w:autoSpaceDN w:val="0"/>
      <w:adjustRightInd w:val="0"/>
      <w:spacing w:line="335" w:lineRule="exact"/>
      <w:jc w:val="center"/>
    </w:pPr>
    <w:rPr>
      <w:rFonts w:eastAsia="Times New Roman"/>
      <w:sz w:val="24"/>
      <w:szCs w:val="24"/>
    </w:rPr>
  </w:style>
  <w:style w:type="paragraph" w:customStyle="1" w:styleId="Style8">
    <w:name w:val="Style8"/>
    <w:basedOn w:val="a"/>
    <w:uiPriority w:val="99"/>
    <w:qFormat/>
    <w:rsid w:val="00DF2DD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FontStyle75">
    <w:name w:val="Font Style75"/>
    <w:uiPriority w:val="99"/>
    <w:qFormat/>
    <w:rsid w:val="00DF2DDA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uiPriority w:val="39"/>
    <w:rsid w:val="00DF2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9">
    <w:name w:val="Table Normal9"/>
    <w:uiPriority w:val="2"/>
    <w:semiHidden/>
    <w:qFormat/>
    <w:rsid w:val="00DF2DD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2B4A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4A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4A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4A4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00AF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0AFD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n.ru" TargetMode="External"/><Relationship Id="rId13" Type="http://schemas.openxmlformats.org/officeDocument/2006/relationships/hyperlink" Target="http://webofscience.com/" TargetMode="External"/><Relationship Id="rId18" Type="http://schemas.openxmlformats.org/officeDocument/2006/relationships/hyperlink" Target="http://www.book.r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scopus.com" TargetMode="External"/><Relationship Id="rId17" Type="http://schemas.openxmlformats.org/officeDocument/2006/relationships/hyperlink" Target="http://www.iprbooksh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deks.ru" TargetMode="External"/><Relationship Id="rId20" Type="http://schemas.openxmlformats.org/officeDocument/2006/relationships/hyperlink" Target="http://www.znanium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yberleninka.ru" TargetMode="External"/><Relationship Id="rId19" Type="http://schemas.openxmlformats.org/officeDocument/2006/relationships/hyperlink" Target="http://www.urai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ibrary.ru" TargetMode="External"/><Relationship Id="rId14" Type="http://schemas.openxmlformats.org/officeDocument/2006/relationships/hyperlink" Target="http://www.oecd-ilibrary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2623</Words>
  <Characters>14956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A3117nna</cp:lastModifiedBy>
  <cp:revision>8</cp:revision>
  <cp:lastPrinted>2022-03-26T11:48:00Z</cp:lastPrinted>
  <dcterms:created xsi:type="dcterms:W3CDTF">2022-02-12T21:06:00Z</dcterms:created>
  <dcterms:modified xsi:type="dcterms:W3CDTF">2022-10-23T18:20:00Z</dcterms:modified>
</cp:coreProperties>
</file>