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55108C" w:rsidTr="0055108C">
        <w:trPr>
          <w:cantSplit/>
          <w:trHeight w:val="660"/>
        </w:trPr>
        <w:tc>
          <w:tcPr>
            <w:tcW w:w="8539" w:type="dxa"/>
            <w:hideMark/>
          </w:tcPr>
          <w:p w:rsidR="0055108C" w:rsidRDefault="0055108C">
            <w:pPr>
              <w:pStyle w:val="2"/>
              <w:spacing w:line="276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55108C" w:rsidRDefault="0055108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ajorHAnsi" w:eastAsia="Times New Roman" w:hAnsiTheme="majorHAnsi" w:cs="Times New Roman CYR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 CYR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55108C" w:rsidRDefault="0055108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asciiTheme="majorHAnsi" w:eastAsia="Times New Roman" w:hAnsiTheme="majorHAnsi" w:cs="Times New Roman CYR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55108C" w:rsidRDefault="0055108C" w:rsidP="0055108C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55108C" w:rsidRDefault="0055108C" w:rsidP="0055108C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55108C" w:rsidTr="0055108C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55108C" w:rsidRDefault="005510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55108C" w:rsidRDefault="0055108C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5108C" w:rsidRDefault="0055108C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C36733" w:rsidRDefault="00C36733" w:rsidP="00C367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:rsidR="0055108C" w:rsidRDefault="0055108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55108C" w:rsidRDefault="0055108C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55108C" w:rsidRDefault="0055108C" w:rsidP="0055108C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000000"/>
          <w:kern w:val="36"/>
          <w:sz w:val="24"/>
          <w:szCs w:val="24"/>
        </w:rPr>
        <w:t>Применение проформ контрактов ФИДИК при строительстве энергетических объектов</w:t>
      </w:r>
      <w:r>
        <w:rPr>
          <w:bCs/>
          <w:color w:val="000000"/>
          <w:kern w:val="36"/>
          <w:sz w:val="24"/>
          <w:szCs w:val="24"/>
        </w:rPr>
        <w:t>»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___________________________________________________________________</w:t>
      </w:r>
    </w:p>
    <w:p w:rsidR="0055108C" w:rsidRDefault="0055108C" w:rsidP="0055108C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55108C" w:rsidRDefault="0055108C" w:rsidP="0055108C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55108C" w:rsidRDefault="0055108C" w:rsidP="0055108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 по вопросам, связанным с правовым сопровождением строительства энергетических объектов,  с применением проформ контрактов Международной федерации инженеров- консультантов - ФИДИК при строительстве энергетических объектов, приобретение новых и совершенствование имеющихся компетенций.</w:t>
      </w:r>
    </w:p>
    <w:p w:rsidR="0055108C" w:rsidRDefault="0055108C" w:rsidP="0055108C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другие заинтересованные лица.</w:t>
      </w:r>
    </w:p>
    <w:p w:rsidR="0055108C" w:rsidRDefault="0055108C" w:rsidP="0055108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55108C" w:rsidRDefault="0055108C" w:rsidP="0055108C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</w:p>
    <w:p w:rsidR="0055108C" w:rsidRDefault="0055108C" w:rsidP="0055108C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55108C" w:rsidRDefault="0055108C" w:rsidP="0055108C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>
        <w:rPr>
          <w:color w:val="000000"/>
          <w:sz w:val="24"/>
          <w:szCs w:val="24"/>
        </w:rPr>
        <w:t>часов.  Срок обучения – 5 дней</w:t>
      </w:r>
    </w:p>
    <w:p w:rsidR="0055108C" w:rsidRDefault="0055108C" w:rsidP="0055108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и аудиторная трудоемкость указана в академических часах.</w:t>
      </w:r>
    </w:p>
    <w:p w:rsidR="0055108C" w:rsidRPr="002035B0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:rsidR="0055108C" w:rsidRPr="002035B0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>Методическое оформление: Коленькова М.А.</w:t>
      </w:r>
    </w:p>
    <w:p w:rsidR="0055108C" w:rsidRDefault="0055108C" w:rsidP="0055108C">
      <w:pPr>
        <w:jc w:val="both"/>
        <w:rPr>
          <w:sz w:val="24"/>
          <w:szCs w:val="24"/>
        </w:rPr>
      </w:pPr>
      <w:r w:rsidRPr="002035B0">
        <w:rPr>
          <w:sz w:val="24"/>
          <w:szCs w:val="24"/>
        </w:rPr>
        <w:t>Рецензенты: М.И.Клеандров, д.ю.н., профессор, член-корреспондент Российской академии наук, А.Г.Лисицын-Светланов, д.ю.н., профессор, академик Российской академии наук</w:t>
      </w:r>
    </w:p>
    <w:p w:rsidR="0055108C" w:rsidRDefault="0055108C" w:rsidP="0055108C">
      <w:pPr>
        <w:jc w:val="both"/>
        <w:rPr>
          <w:sz w:val="24"/>
          <w:szCs w:val="24"/>
        </w:rPr>
      </w:pPr>
    </w:p>
    <w:p w:rsidR="0055108C" w:rsidRDefault="0055108C" w:rsidP="0055108C">
      <w:pPr>
        <w:jc w:val="both"/>
        <w:rPr>
          <w:sz w:val="24"/>
          <w:szCs w:val="24"/>
        </w:rPr>
      </w:pPr>
    </w:p>
    <w:p w:rsidR="0055108C" w:rsidRDefault="0055108C" w:rsidP="0055108C">
      <w:pPr>
        <w:jc w:val="both"/>
        <w:rPr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2474"/>
        <w:gridCol w:w="808"/>
        <w:gridCol w:w="692"/>
        <w:gridCol w:w="670"/>
        <w:gridCol w:w="692"/>
        <w:gridCol w:w="670"/>
        <w:gridCol w:w="692"/>
        <w:gridCol w:w="670"/>
        <w:gridCol w:w="1343"/>
      </w:tblGrid>
      <w:tr w:rsidR="0055108C" w:rsidTr="0055108C">
        <w:trPr>
          <w:trHeight w:val="18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дисциплин (модулей)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55108C" w:rsidRDefault="0055108C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55108C" w:rsidTr="0055108C">
        <w:trPr>
          <w:trHeight w:val="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В том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С.00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5108C" w:rsidTr="0055108C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  <w:p w:rsidR="0055108C" w:rsidRDefault="0055108C">
            <w:pPr>
              <w:spacing w:line="276" w:lineRule="auto"/>
              <w:ind w:right="34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5108C" w:rsidTr="0055108C">
        <w:trPr>
          <w:trHeight w:val="1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55108C" w:rsidTr="0055108C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55108C" w:rsidTr="0055108C">
        <w:trPr>
          <w:trHeight w:val="1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C" w:rsidRDefault="0055108C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N w:val="0"/>
              <w:spacing w:line="276" w:lineRule="auto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08C" w:rsidRDefault="0055108C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55108C" w:rsidRDefault="0055108C" w:rsidP="0055108C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:rsidR="0055108C" w:rsidRDefault="0055108C" w:rsidP="0055108C">
      <w:pPr>
        <w:ind w:firstLine="709"/>
        <w:jc w:val="both"/>
        <w:rPr>
          <w:b/>
          <w:sz w:val="24"/>
          <w:szCs w:val="24"/>
        </w:rPr>
      </w:pPr>
    </w:p>
    <w:p w:rsidR="0055108C" w:rsidRDefault="0055108C" w:rsidP="0055108C">
      <w:pPr>
        <w:shd w:val="clear" w:color="auto" w:fill="FFFFFF"/>
        <w:jc w:val="center"/>
        <w:textAlignment w:val="top"/>
        <w:rPr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55108C" w:rsidRDefault="0055108C" w:rsidP="0055108C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обучения – 5 дней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268"/>
        <w:gridCol w:w="2268"/>
        <w:gridCol w:w="1985"/>
        <w:gridCol w:w="1413"/>
      </w:tblGrid>
      <w:tr w:rsidR="0055108C" w:rsidTr="0055108C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55108C" w:rsidTr="0055108C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55108C" w:rsidTr="0055108C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08C" w:rsidRDefault="0055108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6ч.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6ч.-П)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55108C" w:rsidTr="0055108C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08C" w:rsidRDefault="0055108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(2ч.-Л, 4ч.-П)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55108C" w:rsidTr="0055108C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108C" w:rsidRDefault="0055108C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5108C" w:rsidTr="0055108C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ч.-Л, 2ч. 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2ч.-П)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С.03 (2 ч.-Л, 2ч.- П)</w:t>
            </w:r>
          </w:p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55108C" w:rsidRDefault="0055108C" w:rsidP="0055108C">
      <w:pPr>
        <w:jc w:val="both"/>
        <w:rPr>
          <w:sz w:val="24"/>
          <w:szCs w:val="24"/>
        </w:rPr>
      </w:pP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предмета учебно-тематического плана.</w:t>
      </w: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Л – лекция</w:t>
      </w: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П – практическое занятие</w:t>
      </w: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К– консультация</w:t>
      </w: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55108C" w:rsidRDefault="0055108C" w:rsidP="0055108C">
      <w:pPr>
        <w:rPr>
          <w:rFonts w:eastAsia="Times New Roman"/>
          <w:i/>
          <w:sz w:val="24"/>
          <w:szCs w:val="24"/>
          <w:u w:val="single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РАБОЧИЕ ПРОГРАММЫ ДИСЦИПЛИН (МОДУЛЕЙ)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и разновидности проформ типовых контрактов Международной федерации инженеров-консультантов (ФИДИК).</w:t>
            </w: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правового регулирования строительства энергетических объектов. Значение обычаев как источников правового регулирования строительства энергетических объектов. История и цели создания Международной федерации инженеров-консультантов. Золотые принципы </w:t>
            </w:r>
            <w:r>
              <w:rPr>
                <w:sz w:val="24"/>
                <w:szCs w:val="24"/>
                <w:lang w:val="en-US" w:eastAsia="en-US"/>
              </w:rPr>
              <w:t>FIDIC</w:t>
            </w:r>
            <w:r>
              <w:rPr>
                <w:sz w:val="24"/>
                <w:szCs w:val="24"/>
                <w:lang w:eastAsia="en-US"/>
              </w:rPr>
              <w:t xml:space="preserve">. Договор на проектирование и строительство (Желтая книга). Договор на строительство (Красная книга). Условия договора на подземные работы (Изумрудная книга). Краткая форма контракта (Зеленая книга). Структура типовых проформ договоров </w:t>
            </w:r>
            <w:r>
              <w:rPr>
                <w:sz w:val="24"/>
                <w:szCs w:val="24"/>
                <w:lang w:val="en-US" w:eastAsia="en-US"/>
              </w:rPr>
              <w:t>FIDIC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5108C" w:rsidRDefault="0055108C">
            <w:pPr>
              <w:pStyle w:val="Style13"/>
              <w:widowControl/>
              <w:tabs>
                <w:tab w:val="left" w:leader="underscore" w:pos="6358"/>
              </w:tabs>
              <w:spacing w:line="240" w:lineRule="auto"/>
              <w:jc w:val="left"/>
              <w:rPr>
                <w:rStyle w:val="FontStyle75"/>
              </w:rPr>
            </w:pPr>
          </w:p>
          <w:p w:rsidR="0055108C" w:rsidRDefault="0055108C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55108C" w:rsidRDefault="0055108C" w:rsidP="0055108C">
      <w:pPr>
        <w:rPr>
          <w:sz w:val="24"/>
          <w:szCs w:val="24"/>
        </w:rPr>
      </w:pPr>
    </w:p>
    <w:p w:rsidR="0055108C" w:rsidRDefault="0055108C" w:rsidP="0055108C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 w:rsidP="00EC6A66">
            <w:pPr>
              <w:pStyle w:val="a4"/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типовых контрактов ФИДИК при строительстве энергетических объектов.</w:t>
            </w:r>
          </w:p>
          <w:p w:rsidR="0055108C" w:rsidRDefault="0055108C">
            <w:pPr>
              <w:pStyle w:val="a4"/>
              <w:spacing w:line="240" w:lineRule="auto"/>
              <w:ind w:left="644" w:right="34"/>
              <w:jc w:val="both"/>
              <w:rPr>
                <w:sz w:val="24"/>
                <w:szCs w:val="24"/>
              </w:rPr>
            </w:pP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Порядок заключения и исполнения договоров на строительство «под ключ». Правовой анализ правоприменительной практики использования типовых контрактов ФИДИК в сфере энергетики. </w:t>
            </w:r>
            <w:r>
              <w:rPr>
                <w:sz w:val="24"/>
                <w:szCs w:val="24"/>
                <w:lang w:val="en-US" w:eastAsia="en-US"/>
              </w:rPr>
              <w:t>EPC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Turnkey</w:t>
            </w:r>
            <w:r>
              <w:rPr>
                <w:sz w:val="24"/>
                <w:szCs w:val="24"/>
                <w:lang w:eastAsia="en-US"/>
              </w:rPr>
              <w:t xml:space="preserve"> контракты (Серебряная книга). Золотая книга ФИДИК</w:t>
            </w:r>
            <w:r>
              <w:rPr>
                <w:color w:val="646464"/>
                <w:sz w:val="24"/>
                <w:szCs w:val="24"/>
                <w:lang w:eastAsia="en-US"/>
              </w:rPr>
              <w:t>.</w:t>
            </w:r>
          </w:p>
          <w:p w:rsidR="0055108C" w:rsidRDefault="0055108C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объектов.</w:t>
            </w: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Порядок урегулирования споров согласно проформам контрактов ФИДИК. Претензионный порядок. Совет по урегулированию споров. Арбитраж.</w:t>
            </w:r>
          </w:p>
        </w:tc>
      </w:tr>
      <w:tr w:rsidR="0055108C" w:rsidTr="0055108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 с обзором проектов нормативных правовых актов</w:t>
            </w:r>
          </w:p>
        </w:tc>
      </w:tr>
    </w:tbl>
    <w:p w:rsidR="0055108C" w:rsidRDefault="0055108C" w:rsidP="0055108C">
      <w:pPr>
        <w:spacing w:after="200"/>
        <w:rPr>
          <w:rFonts w:ascii="Calibri" w:hAnsi="Calibri"/>
          <w:sz w:val="24"/>
          <w:szCs w:val="24"/>
          <w:lang w:eastAsia="en-US"/>
        </w:rPr>
      </w:pPr>
    </w:p>
    <w:p w:rsidR="0055108C" w:rsidRDefault="0055108C" w:rsidP="0055108C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«Применение проформ контрактов ФИДИК при строительстве энергетических объектов» должны быть усовершенствованы следующие профессиональные компетенции (ПК): 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регулирования строительства энергетических объектов; 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строительства энергетических объектов, и ее значение в системе правового регулирования в сфере энергетики;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при строительстве энергетических объектов;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области строительства энергетических объектов;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55108C" w:rsidRDefault="0055108C" w:rsidP="0055108C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55108C" w:rsidRDefault="0055108C" w:rsidP="0055108C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55108C" w:rsidRDefault="0055108C" w:rsidP="0055108C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577"/>
        <w:gridCol w:w="2366"/>
      </w:tblGrid>
      <w:tr w:rsidR="0055108C" w:rsidTr="005510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55108C" w:rsidTr="005510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Правовое обеспечение строительства энергетических объектов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строительства энергетических объектов,</w:t>
            </w:r>
          </w:p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экспертной деятельности в сфере энергетики, осуществление деятельности по договорному сопровождению строительства энергетических объектов, осуществление консалтинговой деятельности в сфере энергетики, осуществление претензионно-исковой деятельности в сфере энергетики </w:t>
            </w:r>
          </w:p>
          <w:p w:rsidR="0055108C" w:rsidRDefault="0055108C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55108C" w:rsidRDefault="0055108C" w:rsidP="0055108C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55108C" w:rsidRDefault="0055108C" w:rsidP="0055108C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55108C" w:rsidRDefault="0055108C" w:rsidP="0055108C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55108C" w:rsidRDefault="0055108C" w:rsidP="0055108C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55108C" w:rsidRDefault="0055108C" w:rsidP="0055108C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:rsidR="0055108C" w:rsidRDefault="0055108C" w:rsidP="0055108C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949"/>
        <w:gridCol w:w="3572"/>
      </w:tblGrid>
      <w:tr w:rsidR="0055108C" w:rsidTr="005510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55108C" w:rsidTr="005510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55108C" w:rsidTr="005510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5108C" w:rsidRDefault="0055108C">
            <w:pPr>
              <w:tabs>
                <w:tab w:val="left" w:pos="709"/>
                <w:tab w:val="left" w:pos="8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55108C" w:rsidTr="005510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55108C" w:rsidRDefault="0055108C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55108C" w:rsidTr="005510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Письменный опрос по пройденным темам</w:t>
            </w:r>
          </w:p>
        </w:tc>
      </w:tr>
    </w:tbl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bookmarkStart w:id="1" w:name="_Hlk92984284"/>
      <w:r>
        <w:rPr>
          <w:bCs/>
          <w:sz w:val="24"/>
          <w:szCs w:val="24"/>
        </w:rPr>
        <w:t>8. ФОРМЫ АТТЕСТАЦИИ</w:t>
      </w:r>
    </w:p>
    <w:p w:rsidR="0055108C" w:rsidRPr="00C36733" w:rsidRDefault="0055108C" w:rsidP="0055108C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2" w:name="_Hlk92983953"/>
      <w:r>
        <w:rPr>
          <w:rFonts w:eastAsia="Times New Roman"/>
          <w:sz w:val="24"/>
          <w:szCs w:val="24"/>
        </w:rPr>
        <w:t>8.</w:t>
      </w:r>
      <w:r w:rsidRPr="00C36733">
        <w:rPr>
          <w:rFonts w:eastAsia="Times New Roman"/>
          <w:sz w:val="24"/>
          <w:szCs w:val="24"/>
        </w:rPr>
        <w:t>1. Промежуточная аттестация проводится в форме зачета.</w:t>
      </w:r>
    </w:p>
    <w:p w:rsidR="0055108C" w:rsidRPr="00C36733" w:rsidRDefault="0055108C" w:rsidP="0055108C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515"/>
        <w:gridCol w:w="3764"/>
      </w:tblGrid>
      <w:tr w:rsidR="0055108C" w:rsidTr="0055108C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Pr="00C36733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Pr="00C36733" w:rsidRDefault="005510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C36733"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55108C" w:rsidTr="0055108C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Общая характеристика и разновидности проформ типовых контрактов Международной федерации инженеров-консультантов (ФИДИК)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8C" w:rsidRDefault="0055108C" w:rsidP="00EC6A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строительства энергетических объектов.</w:t>
            </w:r>
          </w:p>
          <w:p w:rsidR="0055108C" w:rsidRDefault="0055108C" w:rsidP="00EC6A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проформы контрактов ФИДИК. Общая характеристика.</w:t>
            </w:r>
          </w:p>
          <w:p w:rsidR="0055108C" w:rsidRDefault="0055108C" w:rsidP="00EC6A66">
            <w:pPr>
              <w:pStyle w:val="a4"/>
              <w:numPr>
                <w:ilvl w:val="0"/>
                <w:numId w:val="3"/>
              </w:num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типовых проформ договоров ФИДИК</w:t>
            </w:r>
            <w:r>
              <w:rPr>
                <w:sz w:val="24"/>
                <w:szCs w:val="24"/>
              </w:rPr>
              <w:t>.</w:t>
            </w:r>
          </w:p>
          <w:p w:rsidR="0055108C" w:rsidRDefault="0055108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</w:tr>
      <w:tr w:rsidR="0055108C" w:rsidTr="0055108C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709"/>
                <w:tab w:val="left" w:pos="851"/>
              </w:tabs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Применение типовых контрактов ФИДИК при строительстве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numPr>
                <w:ilvl w:val="0"/>
                <w:numId w:val="4"/>
              </w:numPr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строительства энергетических объектов «под ключ».</w:t>
            </w:r>
          </w:p>
          <w:p w:rsidR="0055108C" w:rsidRDefault="0055108C" w:rsidP="00EC6A66">
            <w:pPr>
              <w:pStyle w:val="a4"/>
              <w:numPr>
                <w:ilvl w:val="0"/>
                <w:numId w:val="4"/>
              </w:numPr>
              <w:ind w:left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основное содержание Серебряной книги ФИДИК.</w:t>
            </w:r>
          </w:p>
          <w:p w:rsidR="0055108C" w:rsidRDefault="0055108C" w:rsidP="00EC6A66">
            <w:pPr>
              <w:pStyle w:val="a4"/>
              <w:numPr>
                <w:ilvl w:val="0"/>
                <w:numId w:val="4"/>
              </w:numPr>
              <w:ind w:left="235" w:firstLine="48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основное содержание Золотой книги ФИДИК.</w:t>
            </w:r>
          </w:p>
        </w:tc>
      </w:tr>
      <w:tr w:rsidR="0055108C" w:rsidTr="0055108C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spacing w:line="276" w:lineRule="auto"/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Порядок урегулирования разногласий, возникающих при заключении и исполнении договоров на строительство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 w:rsidP="00EC6A66">
            <w:pPr>
              <w:pStyle w:val="a4"/>
              <w:numPr>
                <w:ilvl w:val="0"/>
                <w:numId w:val="5"/>
              </w:numPr>
              <w:ind w:left="235" w:right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Претензионный порядок урегулирования разногласий при заключении и исполнении договоров на строительство энергетических объектов.</w:t>
            </w:r>
          </w:p>
          <w:p w:rsidR="0055108C" w:rsidRDefault="0055108C" w:rsidP="00EC6A66">
            <w:pPr>
              <w:pStyle w:val="a4"/>
              <w:numPr>
                <w:ilvl w:val="0"/>
                <w:numId w:val="5"/>
              </w:numPr>
              <w:ind w:left="235" w:right="34" w:firstLine="485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Совет по урегулированию споров. Порядок рассмотрения разногласий согласно проформам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типовых контрактов Международной федерации инженеров-консультантов.</w:t>
            </w:r>
          </w:p>
          <w:p w:rsidR="0055108C" w:rsidRDefault="0055108C" w:rsidP="00EC6A66">
            <w:pPr>
              <w:pStyle w:val="a4"/>
              <w:numPr>
                <w:ilvl w:val="0"/>
                <w:numId w:val="5"/>
              </w:numPr>
              <w:ind w:left="235" w:right="34" w:firstLine="485"/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разрешения разногласий в Арбитраже.</w:t>
            </w:r>
          </w:p>
        </w:tc>
      </w:tr>
      <w:bookmarkEnd w:id="1"/>
      <w:bookmarkEnd w:id="2"/>
    </w:tbl>
    <w:p w:rsidR="0055108C" w:rsidRDefault="0055108C" w:rsidP="0055108C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55108C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Итоговая аттестация проводится в форме зачета. Зачет проводится в виде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:rsidR="0055108C" w:rsidRDefault="0055108C" w:rsidP="0055108C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55108C" w:rsidRDefault="0055108C" w:rsidP="0055108C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55108C" w:rsidRDefault="0055108C" w:rsidP="0055108C">
      <w:pPr>
        <w:pStyle w:val="a4"/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55108C" w:rsidRDefault="0055108C" w:rsidP="0055108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и цели создания Международной федерации инженеров-консультантов. Золотые принципы </w:t>
      </w:r>
      <w:r>
        <w:rPr>
          <w:rFonts w:ascii="Times New Roman" w:hAnsi="Times New Roman" w:cs="Times New Roman"/>
          <w:sz w:val="24"/>
          <w:szCs w:val="24"/>
          <w:lang w:val="en-US"/>
        </w:rPr>
        <w:t>FIDIC</w:t>
      </w:r>
      <w:r>
        <w:rPr>
          <w:rFonts w:ascii="Times New Roman" w:hAnsi="Times New Roman" w:cs="Times New Roman"/>
          <w:sz w:val="24"/>
          <w:szCs w:val="24"/>
        </w:rPr>
        <w:t xml:space="preserve">. Структура типовых проформ договоров </w:t>
      </w:r>
      <w:r>
        <w:rPr>
          <w:rFonts w:ascii="Times New Roman" w:hAnsi="Times New Roman" w:cs="Times New Roman"/>
          <w:sz w:val="24"/>
          <w:szCs w:val="24"/>
          <w:lang w:val="en-US"/>
        </w:rPr>
        <w:t>FIDIC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08C" w:rsidRDefault="0055108C" w:rsidP="0055108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проектирование и строительство (Желтая книга). </w:t>
      </w:r>
    </w:p>
    <w:p w:rsidR="0055108C" w:rsidRDefault="0055108C" w:rsidP="0055108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строительство (Красная книга). Условия договора на подземные работы (Изумрудная книга). Краткая форма контракта (Зеленая книга). </w:t>
      </w:r>
    </w:p>
    <w:p w:rsidR="0055108C" w:rsidRDefault="0055108C" w:rsidP="0055108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Правовой анализ правоприменительной практики использования типовых контрактов ФИДИК в сфере энергетики.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EPC/Turnkey </w:t>
      </w:r>
      <w:r>
        <w:rPr>
          <w:rFonts w:ascii="Times New Roman" w:hAnsi="Times New Roman" w:cs="Times New Roman"/>
          <w:sz w:val="24"/>
          <w:szCs w:val="24"/>
        </w:rPr>
        <w:t xml:space="preserve">контракты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Серебряная книга)</w:t>
      </w:r>
      <w:r>
        <w:rPr>
          <w:rFonts w:ascii="Times New Roman" w:hAnsi="Times New Roman" w:cs="Times New Roman"/>
          <w:color w:val="646464"/>
          <w:sz w:val="24"/>
          <w:szCs w:val="24"/>
        </w:rPr>
        <w:t>.</w:t>
      </w:r>
    </w:p>
    <w:p w:rsidR="0055108C" w:rsidRDefault="0055108C" w:rsidP="0055108C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урегулирования споров согласно проформам контрактов ФИДИК. Претензионный порядок. Совет по урегулированию споров. Арбитраж.</w:t>
      </w: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55108C" w:rsidRDefault="0055108C" w:rsidP="0055108C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  <w:bookmarkStart w:id="3" w:name="_Toc61021477"/>
      <w:bookmarkStart w:id="4" w:name="_Toc61021478"/>
      <w:bookmarkStart w:id="5" w:name="_Toc508197112"/>
      <w:r>
        <w:rPr>
          <w:bCs/>
          <w:sz w:val="24"/>
          <w:szCs w:val="24"/>
        </w:rPr>
        <w:t xml:space="preserve">9. РЕСУРСНОЕ ОБЕСПЕЧЕНИЕ </w:t>
      </w:r>
      <w:bookmarkEnd w:id="3"/>
      <w:r>
        <w:rPr>
          <w:bCs/>
          <w:sz w:val="24"/>
          <w:szCs w:val="24"/>
        </w:rPr>
        <w:t>ПРОГРАММЫ</w:t>
      </w:r>
    </w:p>
    <w:p w:rsidR="0055108C" w:rsidRDefault="0055108C" w:rsidP="0055108C">
      <w:pPr>
        <w:shd w:val="clear" w:color="auto" w:fill="FFFFFF"/>
        <w:ind w:left="1070"/>
        <w:jc w:val="center"/>
        <w:textAlignment w:val="top"/>
        <w:rPr>
          <w:bCs/>
          <w:sz w:val="24"/>
          <w:szCs w:val="24"/>
        </w:rPr>
      </w:pPr>
    </w:p>
    <w:p w:rsidR="0055108C" w:rsidRDefault="0055108C" w:rsidP="0055108C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6" w:name="_Toc476906796"/>
      <w:bookmarkEnd w:id="4"/>
      <w:bookmarkEnd w:id="5"/>
      <w:r>
        <w:rPr>
          <w:rFonts w:eastAsia="Times New Roman"/>
          <w:b/>
          <w:sz w:val="24"/>
          <w:szCs w:val="24"/>
        </w:rPr>
        <w:t>9.1 Учебно-методическое и информационное обеспечение программы</w:t>
      </w:r>
    </w:p>
    <w:p w:rsidR="0055108C" w:rsidRDefault="0055108C" w:rsidP="0055108C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sz w:val="24"/>
          <w:szCs w:val="24"/>
        </w:rPr>
      </w:pPr>
    </w:p>
    <w:p w:rsidR="0055108C" w:rsidRDefault="0055108C" w:rsidP="0055108C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p w:rsidR="0055108C" w:rsidRDefault="0055108C" w:rsidP="0055108C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</w:p>
    <w:tbl>
      <w:tblPr>
        <w:tblStyle w:val="TableNormal9"/>
        <w:tblW w:w="936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2411"/>
      </w:tblGrid>
      <w:tr w:rsidR="0055108C" w:rsidTr="0055108C">
        <w:trPr>
          <w:trHeight w:val="7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Pr="0055108C" w:rsidRDefault="0055108C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:rsidR="0055108C" w:rsidRPr="0055108C" w:rsidRDefault="0055108C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spacing w:before="127"/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55108C" w:rsidTr="0055108C">
        <w:trPr>
          <w:trHeight w:val="11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Романовой; Москва: Издательство «Юрист», 2015. – 379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11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55108C" w:rsidRDefault="0055108C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Энергетический правопорядок: современное состояние и задачи: [монография] / Москва: Издательство «Юрист», 2016. – 253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11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55108C" w:rsidRDefault="0055108C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 : учебник для подготовки кадров высшей квалификации / В. В. Романова. — Москва: Издательская группа «Юрист», 2021. — 288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—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11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55108C" w:rsidRDefault="0055108C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 В. Романова, А. Б. Бондаренко, А. Б. Ананьев [и др.] ; под редакцией В. В. Романовой. — Москва: Издательство «Юрист», 2018. — 240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11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55108C" w:rsidRDefault="0055108C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редакцией В.В. Романовой. — Москва: Издательская группа «Юрист», 2019. — 264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4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Pr="0055108C" w:rsidRDefault="0055108C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Энергетическое право. Общая часть. Особенная часть: учебник / [В.В. Романова, А.А. Устинов, Н.В. Смирнов/ под ред. В.В. Романовой; – Изд. 2-е, перераб. и доп. – Москва: Издательство «Юрист», 2015. – 677 с.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55108C" w:rsidTr="0055108C">
        <w:trPr>
          <w:trHeight w:val="8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tabs>
                <w:tab w:val="left" w:pos="993"/>
              </w:tabs>
              <w:ind w:left="57"/>
              <w:jc w:val="both"/>
              <w:rPr>
                <w:sz w:val="24"/>
                <w:szCs w:val="24"/>
                <w:lang w:eastAsia="en-US"/>
              </w:rPr>
            </w:pPr>
            <w:r w:rsidRPr="0055108C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Стальмахов, А.А. Шкарбанов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Романовой; Москва: Издательство «Юрист», 2017.— 223 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55108C" w:rsidRDefault="0055108C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55108C" w:rsidRDefault="0055108C" w:rsidP="0055108C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7" w:name="_Hlk23340624"/>
    </w:p>
    <w:bookmarkEnd w:id="7"/>
    <w:p w:rsidR="0055108C" w:rsidRDefault="0055108C" w:rsidP="0055108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55108C" w:rsidRDefault="0055108C" w:rsidP="0055108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8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1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55108C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3" w:history="1">
              <w:r>
                <w:rPr>
                  <w:rStyle w:val="a3"/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55108C" w:rsidRPr="00C36733" w:rsidTr="0055108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4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55108C" w:rsidRDefault="0055108C" w:rsidP="0055108C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55108C" w:rsidRDefault="0055108C" w:rsidP="0055108C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55108C" w:rsidRDefault="0055108C" w:rsidP="0055108C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8" w:name="_Hlk64378507"/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5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6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7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8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55108C" w:rsidTr="005510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9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55108C" w:rsidTr="0055108C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0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8"/>
    </w:tbl>
    <w:p w:rsidR="0055108C" w:rsidRDefault="0055108C" w:rsidP="0055108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:rsidR="0055108C" w:rsidRDefault="0055108C" w:rsidP="0055108C">
      <w:pPr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</w:p>
    <w:p w:rsidR="0055108C" w:rsidRDefault="0055108C" w:rsidP="0055108C">
      <w:pPr>
        <w:ind w:firstLine="709"/>
        <w:jc w:val="both"/>
        <w:rPr>
          <w:rFonts w:eastAsia="Times New Roman"/>
          <w:sz w:val="24"/>
          <w:szCs w:val="24"/>
        </w:rPr>
      </w:pPr>
    </w:p>
    <w:p w:rsidR="0055108C" w:rsidRDefault="0055108C" w:rsidP="0055108C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</w:p>
    <w:p w:rsidR="0055108C" w:rsidRDefault="0055108C" w:rsidP="0055108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55108C" w:rsidRDefault="0055108C" w:rsidP="0055108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55108C" w:rsidTr="0055108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Наименование ПО</w:t>
            </w:r>
          </w:p>
        </w:tc>
      </w:tr>
      <w:tr w:rsidR="0055108C" w:rsidRPr="00C36733" w:rsidTr="0055108C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Office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55108C" w:rsidRPr="00C36733" w:rsidTr="0055108C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Windows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55108C" w:rsidTr="0055108C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Zoom (freeware)</w:t>
            </w:r>
          </w:p>
        </w:tc>
      </w:tr>
      <w:tr w:rsidR="0055108C" w:rsidTr="0055108C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8C" w:rsidRDefault="0055108C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7-Zip</w:t>
            </w:r>
            <w:r>
              <w:rPr>
                <w:sz w:val="24"/>
                <w:szCs w:val="24"/>
                <w:lang w:eastAsia="en-US" w:bidi="ru-RU"/>
              </w:rPr>
              <w:t xml:space="preserve">, </w:t>
            </w:r>
            <w:r>
              <w:rPr>
                <w:sz w:val="24"/>
                <w:szCs w:val="24"/>
                <w:lang w:val="en-US" w:eastAsia="en-US" w:bidi="ru-RU"/>
              </w:rPr>
              <w:t>WinRar (freeware)</w:t>
            </w:r>
          </w:p>
        </w:tc>
      </w:tr>
    </w:tbl>
    <w:p w:rsidR="0055108C" w:rsidRDefault="0055108C" w:rsidP="0055108C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bidi="ru-RU"/>
        </w:rPr>
      </w:pPr>
    </w:p>
    <w:bookmarkEnd w:id="6"/>
    <w:p w:rsidR="0055108C" w:rsidRDefault="0055108C" w:rsidP="0055108C">
      <w:pPr>
        <w:rPr>
          <w:sz w:val="24"/>
          <w:szCs w:val="24"/>
        </w:rPr>
      </w:pPr>
    </w:p>
    <w:p w:rsidR="000374E2" w:rsidRDefault="00C36733"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9" w:name="_GoBack"/>
      <w:bookmarkEnd w:id="9"/>
    </w:p>
    <w:sectPr w:rsidR="000374E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297" w:rsidRDefault="00723297" w:rsidP="0055108C">
      <w:r>
        <w:separator/>
      </w:r>
    </w:p>
  </w:endnote>
  <w:endnote w:type="continuationSeparator" w:id="0">
    <w:p w:rsidR="00723297" w:rsidRDefault="00723297" w:rsidP="0055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753717"/>
      <w:docPartObj>
        <w:docPartGallery w:val="Page Numbers (Bottom of Page)"/>
        <w:docPartUnique/>
      </w:docPartObj>
    </w:sdtPr>
    <w:sdtEndPr/>
    <w:sdtContent>
      <w:p w:rsidR="0055108C" w:rsidRDefault="00551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297">
          <w:rPr>
            <w:noProof/>
          </w:rPr>
          <w:t>1</w:t>
        </w:r>
        <w:r>
          <w:fldChar w:fldCharType="end"/>
        </w:r>
      </w:p>
    </w:sdtContent>
  </w:sdt>
  <w:p w:rsidR="0055108C" w:rsidRDefault="005510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297" w:rsidRDefault="00723297" w:rsidP="0055108C">
      <w:r>
        <w:separator/>
      </w:r>
    </w:p>
  </w:footnote>
  <w:footnote w:type="continuationSeparator" w:id="0">
    <w:p w:rsidR="00723297" w:rsidRDefault="00723297" w:rsidP="0055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E48"/>
    <w:multiLevelType w:val="hybridMultilevel"/>
    <w:tmpl w:val="EE9EECE6"/>
    <w:lvl w:ilvl="0" w:tplc="BAEA5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E22CE"/>
    <w:multiLevelType w:val="hybridMultilevel"/>
    <w:tmpl w:val="111836DE"/>
    <w:lvl w:ilvl="0" w:tplc="E45AEA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F54FC"/>
    <w:multiLevelType w:val="hybridMultilevel"/>
    <w:tmpl w:val="EDDE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C7756"/>
    <w:multiLevelType w:val="hybridMultilevel"/>
    <w:tmpl w:val="6F22FB9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C00EDF"/>
    <w:multiLevelType w:val="hybridMultilevel"/>
    <w:tmpl w:val="D11E0B28"/>
    <w:lvl w:ilvl="0" w:tplc="55B0D7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70"/>
    <w:rsid w:val="000374E2"/>
    <w:rsid w:val="00062905"/>
    <w:rsid w:val="002035B0"/>
    <w:rsid w:val="0055108C"/>
    <w:rsid w:val="00723297"/>
    <w:rsid w:val="00A07870"/>
    <w:rsid w:val="00C36733"/>
    <w:rsid w:val="00C72EC8"/>
    <w:rsid w:val="00D3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51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1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55108C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55108C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551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551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0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510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10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55108C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55108C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5510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55108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10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08C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ebofscience.com/" TargetMode="External"/><Relationship Id="rId18" Type="http://schemas.openxmlformats.org/officeDocument/2006/relationships/hyperlink" Target="http://www.book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opus.com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" TargetMode="External"/><Relationship Id="rId20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www.oecd-ilibr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6</cp:revision>
  <dcterms:created xsi:type="dcterms:W3CDTF">2022-02-12T21:11:00Z</dcterms:created>
  <dcterms:modified xsi:type="dcterms:W3CDTF">2022-10-23T18:16:00Z</dcterms:modified>
</cp:coreProperties>
</file>