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5"/>
      </w:tblGrid>
      <w:tr w:rsidR="00C83EC2" w:rsidTr="00C83EC2">
        <w:trPr>
          <w:cantSplit/>
          <w:trHeight w:val="660"/>
        </w:trPr>
        <w:tc>
          <w:tcPr>
            <w:tcW w:w="8539" w:type="dxa"/>
            <w:hideMark/>
          </w:tcPr>
          <w:p w:rsidR="00C83EC2" w:rsidRDefault="00C83EC2">
            <w:pPr>
              <w:pStyle w:val="2"/>
              <w:spacing w:line="276" w:lineRule="auto"/>
              <w:jc w:val="center"/>
              <w:rPr>
                <w:rFonts w:eastAsia="Times New Roman"/>
                <w:color w:val="auto"/>
                <w:lang w:eastAsia="en-US"/>
              </w:rPr>
            </w:pPr>
            <w:r>
              <w:rPr>
                <w:rFonts w:eastAsia="Times New Roman"/>
                <w:color w:val="auto"/>
                <w:lang w:eastAsia="en-US"/>
              </w:rPr>
              <w:t>Автономная некоммерческая организация</w:t>
            </w:r>
          </w:p>
          <w:p w:rsidR="00C83EC2" w:rsidRDefault="00C83EC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ajorHAnsi" w:eastAsia="Times New Roman" w:hAnsiTheme="majorHAnsi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 CYR"/>
                <w:b/>
                <w:sz w:val="28"/>
                <w:szCs w:val="28"/>
                <w:lang w:eastAsia="en-US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C83EC2" w:rsidRDefault="00C83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pacing w:val="30"/>
                <w:sz w:val="36"/>
                <w:szCs w:val="36"/>
                <w:lang w:eastAsia="en-US"/>
              </w:rPr>
            </w:pPr>
            <w:r>
              <w:rPr>
                <w:rFonts w:asciiTheme="majorHAnsi" w:eastAsia="Times New Roman" w:hAnsiTheme="majorHAnsi" w:cs="Times New Roman CYR"/>
                <w:b/>
                <w:sz w:val="28"/>
                <w:szCs w:val="28"/>
                <w:lang w:eastAsia="en-US"/>
              </w:rPr>
              <w:t>имени В.А. Мусина»</w:t>
            </w:r>
          </w:p>
        </w:tc>
      </w:tr>
    </w:tbl>
    <w:p w:rsidR="00C83EC2" w:rsidRDefault="00C83EC2" w:rsidP="00C83EC2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C83EC2" w:rsidRDefault="00C83EC2" w:rsidP="00C83EC2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C83EC2" w:rsidTr="00C83EC2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C83EC2" w:rsidRDefault="00C83E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C83EC2" w:rsidRDefault="00C83EC2">
            <w:pPr>
              <w:keepNext/>
              <w:spacing w:line="276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  <w:t>УТВЕРЖДАЮ:</w:t>
            </w:r>
          </w:p>
          <w:p w:rsidR="00C83EC2" w:rsidRDefault="00C83EC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83EC2" w:rsidRDefault="00C83EC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83EC2" w:rsidRDefault="00C83EC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______________Ю.В. Трунцевский</w:t>
            </w:r>
          </w:p>
          <w:p w:rsidR="005447E2" w:rsidRDefault="005447E2" w:rsidP="005447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«19» сентября 2022 г.</w:t>
            </w:r>
          </w:p>
          <w:p w:rsidR="00C83EC2" w:rsidRDefault="00C83E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.</w:t>
            </w:r>
          </w:p>
          <w:p w:rsidR="00C83EC2" w:rsidRDefault="00C83EC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C83EC2" w:rsidRDefault="00C83EC2" w:rsidP="00C83EC2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C83EC2" w:rsidRDefault="00C83EC2" w:rsidP="00C83EC2">
      <w:pPr>
        <w:jc w:val="center"/>
        <w:rPr>
          <w:b/>
          <w:bCs/>
          <w:color w:val="000000"/>
          <w:kern w:val="36"/>
          <w:sz w:val="24"/>
          <w:szCs w:val="24"/>
        </w:rPr>
      </w:pPr>
      <w:r>
        <w:rPr>
          <w:bCs/>
          <w:sz w:val="24"/>
          <w:szCs w:val="24"/>
        </w:rPr>
        <w:t>ПОВЫШЕНИЯ КВАЛИФИКАЦИИ</w:t>
      </w:r>
      <w:r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C83EC2" w:rsidRDefault="00C83EC2" w:rsidP="00C83EC2">
      <w:pPr>
        <w:jc w:val="center"/>
        <w:rPr>
          <w:b/>
          <w:bCs/>
          <w:color w:val="000000"/>
          <w:kern w:val="36"/>
          <w:sz w:val="24"/>
          <w:szCs w:val="24"/>
        </w:rPr>
      </w:pPr>
    </w:p>
    <w:p w:rsidR="00C83EC2" w:rsidRDefault="00C83EC2" w:rsidP="00C83EC2">
      <w:pPr>
        <w:shd w:val="clear" w:color="auto" w:fill="FFFFFF"/>
        <w:jc w:val="center"/>
        <w:textAlignment w:val="top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«</w:t>
      </w:r>
      <w:r>
        <w:rPr>
          <w:b/>
          <w:bCs/>
          <w:color w:val="333333"/>
          <w:sz w:val="28"/>
          <w:szCs w:val="28"/>
          <w:shd w:val="clear" w:color="auto" w:fill="FFFFFF"/>
        </w:rPr>
        <w:t>Антимонопольное регулирование и контроль в сфере энергетики</w:t>
      </w:r>
      <w:r>
        <w:rPr>
          <w:bCs/>
          <w:color w:val="000000"/>
          <w:kern w:val="36"/>
          <w:sz w:val="26"/>
          <w:szCs w:val="26"/>
        </w:rPr>
        <w:t>»</w:t>
      </w:r>
    </w:p>
    <w:p w:rsidR="00C83EC2" w:rsidRDefault="00C83EC2" w:rsidP="00C83EC2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_____________________________________________</w:t>
      </w:r>
    </w:p>
    <w:p w:rsidR="00C83EC2" w:rsidRDefault="00C83EC2" w:rsidP="00C83EC2">
      <w:pPr>
        <w:shd w:val="clear" w:color="auto" w:fill="FFFFFF"/>
        <w:jc w:val="center"/>
        <w:textAlignment w:val="top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программы)</w:t>
      </w:r>
    </w:p>
    <w:p w:rsidR="00C83EC2" w:rsidRDefault="00C83EC2" w:rsidP="00C83EC2">
      <w:pPr>
        <w:shd w:val="clear" w:color="auto" w:fill="FFFFFF"/>
        <w:jc w:val="center"/>
        <w:textAlignment w:val="top"/>
        <w:rPr>
          <w:i/>
          <w:color w:val="000000"/>
          <w:sz w:val="24"/>
          <w:szCs w:val="24"/>
        </w:rPr>
      </w:pPr>
    </w:p>
    <w:p w:rsidR="00C83EC2" w:rsidRDefault="00C83EC2" w:rsidP="00C83EC2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C83EC2" w:rsidRDefault="00C83EC2" w:rsidP="00C83EC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повышение квалификации обучающихся по вопросам антимонопольного регулирования и контроля в топливно-энергетическом комплексе, получение углубленных знаний  о тенденциях развития антимонопольного законодательства и правоприменительной практике по соблюдению требований антимонопольного законодательства в различных отраслях энергетики, приобретение новых и совершенствование имеющихся компетенций.</w:t>
      </w:r>
    </w:p>
    <w:p w:rsidR="00C83EC2" w:rsidRDefault="00C83EC2" w:rsidP="00C83EC2">
      <w:pPr>
        <w:jc w:val="both"/>
        <w:rPr>
          <w:b/>
          <w:color w:val="000000"/>
          <w:sz w:val="24"/>
          <w:szCs w:val="24"/>
        </w:rPr>
      </w:pPr>
    </w:p>
    <w:p w:rsidR="00C83EC2" w:rsidRDefault="00C83EC2" w:rsidP="00C83EC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руководители и специалисты топливно-энергетических компаний,  государственных органов, консалтинговых компаний, другие заинтересованные лица</w:t>
      </w:r>
    </w:p>
    <w:p w:rsidR="00C83EC2" w:rsidRDefault="00C83EC2" w:rsidP="00C83EC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Базовое образование:</w:t>
      </w:r>
      <w:r>
        <w:rPr>
          <w:color w:val="000000"/>
          <w:sz w:val="24"/>
          <w:szCs w:val="24"/>
        </w:rPr>
        <w:t xml:space="preserve"> </w:t>
      </w:r>
      <w:bookmarkStart w:id="0" w:name="_Hlk60748705"/>
      <w:r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C83EC2" w:rsidRDefault="00C83EC2" w:rsidP="00C83EC2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  <w:r>
        <w:rPr>
          <w:color w:val="000000"/>
          <w:sz w:val="24"/>
          <w:szCs w:val="24"/>
        </w:rPr>
        <w:t xml:space="preserve"> очная, очно-заочная, заочная</w:t>
      </w:r>
    </w:p>
    <w:p w:rsidR="00C83EC2" w:rsidRDefault="00C83EC2" w:rsidP="00C83EC2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Модель реализации обучения: </w:t>
      </w:r>
      <w:r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C83EC2" w:rsidRDefault="00C83EC2" w:rsidP="00C83EC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программы обучения:  72 </w:t>
      </w:r>
      <w:r>
        <w:rPr>
          <w:color w:val="000000"/>
          <w:sz w:val="24"/>
          <w:szCs w:val="24"/>
        </w:rPr>
        <w:t>часа.  Срок обучения – 10 дней</w:t>
      </w:r>
    </w:p>
    <w:p w:rsidR="00C83EC2" w:rsidRPr="003A6F3B" w:rsidRDefault="00C83EC2" w:rsidP="00C83EC2">
      <w:pPr>
        <w:jc w:val="both"/>
        <w:rPr>
          <w:sz w:val="24"/>
          <w:szCs w:val="24"/>
        </w:rPr>
      </w:pPr>
      <w:r w:rsidRPr="003A6F3B">
        <w:rPr>
          <w:sz w:val="24"/>
          <w:szCs w:val="24"/>
        </w:rPr>
        <w:t>Общая и аудиторная трудоемкость указана в академических часах.</w:t>
      </w:r>
    </w:p>
    <w:p w:rsidR="00C83EC2" w:rsidRPr="003A6F3B" w:rsidRDefault="00C83EC2" w:rsidP="00C83EC2">
      <w:pPr>
        <w:jc w:val="both"/>
        <w:rPr>
          <w:sz w:val="24"/>
          <w:szCs w:val="24"/>
        </w:rPr>
      </w:pPr>
      <w:r w:rsidRPr="003A6F3B">
        <w:rPr>
          <w:sz w:val="24"/>
          <w:szCs w:val="24"/>
        </w:rPr>
        <w:t>Автор-разработчик: Романова В.В., д.ю.н., научный руководитель АНО «Научно-исследовательский «Центр развития энергетического права и современной правовой науки имени В.А.Мусина»</w:t>
      </w:r>
    </w:p>
    <w:p w:rsidR="00C83EC2" w:rsidRPr="003A6F3B" w:rsidRDefault="00C83EC2" w:rsidP="00C83EC2">
      <w:pPr>
        <w:jc w:val="both"/>
        <w:rPr>
          <w:sz w:val="24"/>
          <w:szCs w:val="24"/>
        </w:rPr>
      </w:pPr>
      <w:r w:rsidRPr="003A6F3B">
        <w:rPr>
          <w:sz w:val="24"/>
          <w:szCs w:val="24"/>
        </w:rPr>
        <w:t>Методическое оформление: Коленькова М.А.</w:t>
      </w:r>
    </w:p>
    <w:p w:rsidR="00C83EC2" w:rsidRPr="003A6F3B" w:rsidRDefault="00C83EC2" w:rsidP="00C83EC2">
      <w:pPr>
        <w:jc w:val="both"/>
        <w:rPr>
          <w:sz w:val="24"/>
          <w:szCs w:val="24"/>
        </w:rPr>
      </w:pPr>
      <w:r w:rsidRPr="003A6F3B">
        <w:rPr>
          <w:sz w:val="24"/>
          <w:szCs w:val="24"/>
        </w:rPr>
        <w:t>Рецензенты: М.И.Клеандров, д.ю.н., профессор, член-корреспондент Российской академии наук, А.Г.Лисицын-Светланов, д.ю.н., профессор, академик Российской академии наук</w:t>
      </w:r>
    </w:p>
    <w:p w:rsidR="00C83EC2" w:rsidRDefault="00C83EC2" w:rsidP="00C83EC2">
      <w:pPr>
        <w:jc w:val="both"/>
        <w:rPr>
          <w:sz w:val="24"/>
          <w:szCs w:val="24"/>
        </w:rPr>
      </w:pPr>
    </w:p>
    <w:p w:rsidR="00C83EC2" w:rsidRDefault="00C83EC2" w:rsidP="00C83EC2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595"/>
        <w:gridCol w:w="808"/>
        <w:gridCol w:w="692"/>
        <w:gridCol w:w="670"/>
        <w:gridCol w:w="692"/>
        <w:gridCol w:w="670"/>
        <w:gridCol w:w="692"/>
        <w:gridCol w:w="670"/>
        <w:gridCol w:w="1222"/>
      </w:tblGrid>
      <w:tr w:rsidR="00C83EC2" w:rsidTr="00C83EC2">
        <w:trPr>
          <w:trHeight w:val="18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Шифр 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разделов и тем (модулей)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83EC2" w:rsidRDefault="00C83EC2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</w:t>
            </w:r>
          </w:p>
        </w:tc>
      </w:tr>
      <w:tr w:rsidR="00C83EC2" w:rsidTr="00C83EC2">
        <w:trPr>
          <w:trHeight w:val="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8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С.00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Специальный раздел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1211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состояние и тенденции развития антимонопольного регулирования и контроля в сфере энергетики.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83EC2" w:rsidTr="00C83EC2">
        <w:trPr>
          <w:trHeight w:val="1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Антимонопольное регулирование и контроль в нефтегазовом комплексе.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1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Антимонопольное регулирование и контроль в сфере электроэнергетики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1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Антимонопольное регулирование и контроль в сфере теплоснабжения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C83EC2" w:rsidTr="00C83EC2">
        <w:trPr>
          <w:trHeight w:val="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N w:val="0"/>
              <w:spacing w:line="276" w:lineRule="auto"/>
              <w:ind w:right="34"/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C2" w:rsidRDefault="00C83EC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C83EC2" w:rsidRDefault="00C83EC2" w:rsidP="00C83EC2">
      <w:pPr>
        <w:jc w:val="both"/>
        <w:rPr>
          <w:sz w:val="24"/>
          <w:szCs w:val="24"/>
        </w:rPr>
      </w:pPr>
    </w:p>
    <w:p w:rsidR="00C83EC2" w:rsidRDefault="00C83EC2" w:rsidP="00C83EC2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C83EC2" w:rsidRDefault="00C83EC2" w:rsidP="00C83EC2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программы – 72 ч.</w:t>
      </w:r>
    </w:p>
    <w:p w:rsidR="00C83EC2" w:rsidRDefault="00C83EC2" w:rsidP="00C83EC2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Продолжительность обучения – 10 дней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993"/>
        <w:gridCol w:w="992"/>
        <w:gridCol w:w="992"/>
        <w:gridCol w:w="1133"/>
        <w:gridCol w:w="985"/>
        <w:gridCol w:w="959"/>
        <w:gridCol w:w="854"/>
        <w:gridCol w:w="884"/>
        <w:gridCol w:w="849"/>
      </w:tblGrid>
      <w:tr w:rsidR="00C83EC2" w:rsidTr="00C83EC2">
        <w:trPr>
          <w:trHeight w:val="100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C83EC2" w:rsidTr="00C83EC2">
        <w:trPr>
          <w:trHeight w:val="2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C83EC2" w:rsidTr="00C83EC2">
        <w:trPr>
          <w:trHeight w:val="367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3EC2" w:rsidRDefault="00C83E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33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С.01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(4ч.-Л, 6ч. -П)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С.02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(4ч.-Л, 6ч.-П)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(4ч.-Л, 6ч.-П)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С.04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(4ч.-Л, 6ч.-П)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ИА(2ч.)</w:t>
            </w:r>
          </w:p>
        </w:tc>
      </w:tr>
      <w:tr w:rsidR="00C83EC2" w:rsidTr="00C83EC2">
        <w:trPr>
          <w:trHeight w:val="31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3EC2" w:rsidRDefault="00C83E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Очно-заочная форма обучения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3EC2" w:rsidTr="00C83EC2">
        <w:trPr>
          <w:trHeight w:val="33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С.01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 -Л, 2ч. -П)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С.01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 -Л, 2ч. -П)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С.02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(2ч.-Л, 2ч.-П)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С.02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(2ч.-Л, 2ч.-П)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С.03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 -Л, 4ч.-П)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С.04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 -Л, 4ч.-П)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ИА(2ч.)</w:t>
            </w:r>
          </w:p>
        </w:tc>
      </w:tr>
      <w:tr w:rsidR="00C83EC2" w:rsidTr="00C83EC2">
        <w:trPr>
          <w:trHeight w:val="339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Заочная форма обучения</w:t>
            </w:r>
          </w:p>
        </w:tc>
      </w:tr>
      <w:tr w:rsidR="00C83EC2" w:rsidTr="00C83EC2">
        <w:trPr>
          <w:trHeight w:val="33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 ч.-Л, 2ч.- 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</w:t>
            </w: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(2ч.-Л, 2ч.-П)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sz w:val="24"/>
                <w:szCs w:val="24"/>
                <w:lang w:eastAsia="en-US"/>
              </w:rPr>
            </w:pPr>
          </w:p>
          <w:p w:rsidR="00C83EC2" w:rsidRDefault="00C83EC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 ч.-Л, 2ч.-П)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С.04</w:t>
            </w:r>
          </w:p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(2ч. -Л, 2ч.-П)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83EC2" w:rsidRDefault="00C83E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ИА(2ч.)</w:t>
            </w:r>
          </w:p>
        </w:tc>
      </w:tr>
    </w:tbl>
    <w:p w:rsidR="00C83EC2" w:rsidRDefault="00C83EC2" w:rsidP="00C83EC2">
      <w:pPr>
        <w:jc w:val="both"/>
        <w:rPr>
          <w:sz w:val="24"/>
          <w:szCs w:val="24"/>
        </w:rPr>
      </w:pPr>
    </w:p>
    <w:p w:rsidR="00C83EC2" w:rsidRDefault="00C83EC2" w:rsidP="00C83EC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С- номер темы учебно-тематического плана.</w:t>
      </w:r>
    </w:p>
    <w:p w:rsidR="00C83EC2" w:rsidRDefault="00C83EC2" w:rsidP="00C83EC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Л – лекция</w:t>
      </w:r>
    </w:p>
    <w:p w:rsidR="00C83EC2" w:rsidRDefault="00C83EC2" w:rsidP="00C83EC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П – практическое занятие</w:t>
      </w:r>
    </w:p>
    <w:p w:rsidR="00C83EC2" w:rsidRDefault="00C83EC2" w:rsidP="00C83EC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К– консультация</w:t>
      </w:r>
    </w:p>
    <w:p w:rsidR="00C83EC2" w:rsidRDefault="00C83EC2" w:rsidP="00C83EC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ИА – итоговая аттестация</w:t>
      </w:r>
    </w:p>
    <w:p w:rsidR="00C83EC2" w:rsidRDefault="00C83EC2" w:rsidP="00C83EC2">
      <w:pPr>
        <w:rPr>
          <w:rFonts w:eastAsia="Times New Roman"/>
          <w:i/>
          <w:sz w:val="24"/>
          <w:szCs w:val="24"/>
          <w:u w:val="single"/>
        </w:rPr>
      </w:pPr>
    </w:p>
    <w:p w:rsidR="00C83EC2" w:rsidRDefault="00C83EC2" w:rsidP="00C83EC2">
      <w:pPr>
        <w:rPr>
          <w:rFonts w:eastAsia="Times New Roman"/>
          <w:i/>
          <w:sz w:val="28"/>
          <w:szCs w:val="28"/>
          <w:u w:val="single"/>
        </w:rPr>
      </w:pPr>
    </w:p>
    <w:p w:rsidR="00C83EC2" w:rsidRDefault="00C83EC2" w:rsidP="00C83EC2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РАБОЧИЕ ПРОГРАММЫ ДИСЦИПЛИН (МОДУЛЕЙ)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 w:rsidP="00B768F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Текущее состояние и тенденции развития антимонопольного регулирования и контроля в сфере энергетики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Текущее состояние и тенденции развития антимонопольного регулирования и контроля в сфере энергетики.</w:t>
            </w:r>
          </w:p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Объекты антимонопольного регулирования и контроля в сфере энергетики 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по теме лекции с обзором проектов нормативных правовых актов</w:t>
            </w:r>
          </w:p>
        </w:tc>
      </w:tr>
    </w:tbl>
    <w:p w:rsidR="00C83EC2" w:rsidRDefault="00C83EC2" w:rsidP="00C83EC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 w:rsidP="00B768F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Антимонопольное регулирование и контроль в нефтегазовом комплексе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доступа к газотранспортной системе  ПАО «Газпром». Условия и порядок доступа организаций к местным газораспределительным сетям. Правила недискриминационного доступа к магистральным трубопроводам. Особенности антимонопольного регулирования и контроля в нефтяной отрасли.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по теме лекции</w:t>
            </w:r>
          </w:p>
        </w:tc>
      </w:tr>
    </w:tbl>
    <w:p w:rsidR="00C83EC2" w:rsidRDefault="00C83EC2" w:rsidP="00C83EC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 w:rsidP="00B768F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Антимонопольное регулирование и контроль в сфере электроэнергетике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осуществления антимонопольного регулирования и контроля на оптовом рынке электрической энергии и мощности и розничных рынках электрической энергии.</w:t>
            </w:r>
          </w:p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Правила доступа к электрическим сетям. Объекты антимонопольного регулирования и контроля в электроэнергетике. Правила технологического присоединения энергопринимающих устройств потребителей к электрическим сетям. общие принципы и порядок обеспечения недискриминационного доступа к услугам по передаче электрической энергии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по теме лекции</w:t>
            </w:r>
          </w:p>
        </w:tc>
      </w:tr>
    </w:tbl>
    <w:p w:rsidR="00C83EC2" w:rsidRDefault="00C83EC2" w:rsidP="00C83EC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 w:rsidP="00B768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Антимонопольное регулирование и контроль в сфере теплоснабжения</w:t>
            </w: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Объекты антимонопольного регулирования и контроля в сфере теплоснабжения.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Порядок обеспечения недискриминационного доступа к услугам по подключению (технологическому присоединению) к системам теплоснабжения.</w:t>
            </w:r>
            <w:r>
              <w:rPr>
                <w:lang w:eastAsia="en-US"/>
              </w:rPr>
              <w:t xml:space="preserve"> 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орядок обеспечения недискриминационного доступа к услугам по передаче тепловой энергии, теплоносителя.</w:t>
            </w:r>
          </w:p>
          <w:p w:rsidR="00C83EC2" w:rsidRDefault="00C83EC2">
            <w:pPr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83EC2" w:rsidRDefault="00C83EC2">
            <w:pPr>
              <w:ind w:firstLine="360"/>
              <w:jc w:val="both"/>
              <w:rPr>
                <w:lang w:eastAsia="en-US"/>
              </w:rPr>
            </w:pPr>
          </w:p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83EC2" w:rsidTr="00C83E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по теме лекции</w:t>
            </w:r>
          </w:p>
        </w:tc>
      </w:tr>
    </w:tbl>
    <w:p w:rsidR="00C83EC2" w:rsidRDefault="00C83EC2" w:rsidP="00C83EC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C83EC2" w:rsidRDefault="00C83EC2" w:rsidP="00C83EC2">
      <w:pPr>
        <w:pStyle w:val="a4"/>
        <w:numPr>
          <w:ilvl w:val="0"/>
          <w:numId w:val="3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ПЛАНИРУЕМЫЕ РЕЗУЛЬТАТЫ ОБУЧЕНИЯ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«Антимонопольное регулирование и контроль в сфере энергетики» должны быть усовершенствованы следующие профессиональные компетенции (ПК): 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2 – знание состава, структуры и тенденции развития энергетического законодательства в части антимонопольных требований; 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3 – знание тенденций формирования  правоприменительной практики в области антимонопольного регулирования в сфере энергетики, и ее значение в системе правового регулирования в топливно-энергетическом комплексе;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области антимонопольного регулирования и контроля в сфере энергетики;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сфере энергетики;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:rsidR="00C83EC2" w:rsidRDefault="00C83EC2" w:rsidP="00C83EC2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C83EC2" w:rsidRDefault="00C83EC2" w:rsidP="00C83EC2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C83EC2" w:rsidRDefault="00C83EC2" w:rsidP="00C83EC2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59"/>
        <w:gridCol w:w="2269"/>
        <w:gridCol w:w="2577"/>
        <w:gridCol w:w="2366"/>
      </w:tblGrid>
      <w:tr w:rsidR="00C83EC2" w:rsidTr="00C83E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профессионального стандарта по классификации Минтруда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Область профессиональной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 профессиональной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C83EC2" w:rsidTr="00C83E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сфере энергетики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деятельности  по нормативно-правовому обеспечению в сфере энергетики, осуществление экспертной деятельности в сфере энергетики, осуществление  консалтинговой деятельности в сфере энергетики, осуществление претензионно-исковой деятельности в сфере энергетики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</w:tr>
    </w:tbl>
    <w:p w:rsidR="00C83EC2" w:rsidRDefault="00C83EC2" w:rsidP="00C83EC2">
      <w:pPr>
        <w:shd w:val="clear" w:color="auto" w:fill="FFFFFF"/>
        <w:tabs>
          <w:tab w:val="left" w:pos="1872"/>
        </w:tabs>
        <w:textAlignment w:val="top"/>
        <w:rPr>
          <w:rFonts w:eastAsia="Times New Roman"/>
          <w:sz w:val="24"/>
          <w:szCs w:val="24"/>
        </w:rPr>
      </w:pPr>
    </w:p>
    <w:p w:rsidR="00C83EC2" w:rsidRDefault="00C83EC2" w:rsidP="00C83EC2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C83EC2" w:rsidRDefault="00C83EC2" w:rsidP="00C83EC2">
      <w:pPr>
        <w:pStyle w:val="a4"/>
        <w:shd w:val="clear" w:color="auto" w:fill="FFFFFF"/>
        <w:tabs>
          <w:tab w:val="left" w:pos="1872"/>
        </w:tabs>
        <w:spacing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ОРГАНИЗАЦИОННО-ПЕДАГОГИЧЕСКИЕ УСЛОВИЯ РЕАЛИЗАЦИИ ПРОГРАММЫ</w:t>
      </w:r>
    </w:p>
    <w:p w:rsidR="00C83EC2" w:rsidRDefault="00C83EC2" w:rsidP="00C83EC2">
      <w:pPr>
        <w:ind w:firstLine="705"/>
        <w:jc w:val="both"/>
        <w:textAlignment w:val="baseline"/>
        <w:rPr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</w:t>
      </w:r>
      <w:r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данной учебной дисциплины.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6.3.</w:t>
      </w:r>
      <w:r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C83EC2" w:rsidRDefault="00C83EC2" w:rsidP="00C83EC2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C83EC2" w:rsidRDefault="00C83EC2" w:rsidP="00C83EC2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При изучении тем учебной программы применяются практические занятия, </w:t>
      </w:r>
      <w:r>
        <w:rPr>
          <w:rFonts w:eastAsia="Times New Roman"/>
          <w:spacing w:val="4"/>
          <w:sz w:val="24"/>
          <w:szCs w:val="24"/>
        </w:rPr>
        <w:t xml:space="preserve">цель которых </w:t>
      </w:r>
      <w:r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eastAsia="Times New Roman"/>
          <w:spacing w:val="4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C83EC2" w:rsidRDefault="00C83EC2" w:rsidP="00C83EC2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зачета. </w:t>
      </w:r>
    </w:p>
    <w:p w:rsidR="00C83EC2" w:rsidRDefault="00C83EC2" w:rsidP="00C83EC2">
      <w:pPr>
        <w:tabs>
          <w:tab w:val="left" w:pos="0"/>
        </w:tabs>
        <w:jc w:val="both"/>
        <w:rPr>
          <w:rFonts w:eastAsia="Times New Roman"/>
          <w:spacing w:val="4"/>
          <w:sz w:val="24"/>
          <w:szCs w:val="24"/>
        </w:rPr>
      </w:pPr>
    </w:p>
    <w:p w:rsidR="00C83EC2" w:rsidRDefault="00C83EC2" w:rsidP="00C83EC2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7.</w:t>
      </w:r>
      <w:r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C83EC2" w:rsidRDefault="00C83EC2" w:rsidP="00C83EC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C83EC2" w:rsidRDefault="00C83EC2" w:rsidP="00C83EC2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22"/>
        <w:gridCol w:w="2915"/>
        <w:gridCol w:w="3527"/>
      </w:tblGrid>
      <w:tr w:rsidR="00C83EC2" w:rsidTr="00C83EC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83EC2" w:rsidTr="00C83EC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jc w:val="center"/>
              <w:textAlignment w:val="baseline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C83EC2" w:rsidRDefault="00C83EC2">
            <w:pPr>
              <w:jc w:val="center"/>
              <w:textAlignment w:val="baseline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антимонопольного регулирования и контроля в сфере энергетики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C83EC2" w:rsidTr="00C83EC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jc w:val="center"/>
              <w:textAlignment w:val="baseline"/>
              <w:rPr>
                <w:b/>
                <w:snapToGrid w:val="0"/>
                <w:sz w:val="24"/>
                <w:szCs w:val="24"/>
                <w:highlight w:val="yellow"/>
                <w:lang w:eastAsia="en-US"/>
              </w:rPr>
            </w:pP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Антимонопольное регулирование и контроль в нефтегазовом комплексе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теме.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C83EC2" w:rsidTr="00C83EC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jc w:val="center"/>
              <w:textAlignment w:val="baseline"/>
              <w:rPr>
                <w:b/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Антимонопольное регулирование и контроль в сфере электроэнергетике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теме.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C83EC2" w:rsidTr="00C83EC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>
            <w:pPr>
              <w:jc w:val="center"/>
              <w:textAlignment w:val="baseline"/>
              <w:rPr>
                <w:b/>
                <w:snapToGrid w:val="0"/>
                <w:sz w:val="24"/>
                <w:szCs w:val="24"/>
                <w:highlight w:val="yellow"/>
                <w:lang w:eastAsia="en-US"/>
              </w:rPr>
            </w:pPr>
          </w:p>
          <w:p w:rsidR="00C83EC2" w:rsidRDefault="00C83EC2">
            <w:pPr>
              <w:jc w:val="center"/>
              <w:textAlignment w:val="baseline"/>
              <w:rPr>
                <w:b/>
                <w:snapToGrid w:val="0"/>
                <w:sz w:val="24"/>
                <w:szCs w:val="24"/>
                <w:highlight w:val="yellow"/>
                <w:lang w:eastAsia="en-US"/>
              </w:rPr>
            </w:pPr>
          </w:p>
          <w:p w:rsidR="00C83EC2" w:rsidRDefault="00C83EC2">
            <w:pPr>
              <w:jc w:val="center"/>
              <w:textAlignment w:val="baseline"/>
              <w:rPr>
                <w:b/>
                <w:snapToGrid w:val="0"/>
                <w:sz w:val="24"/>
                <w:szCs w:val="24"/>
                <w:highlight w:val="yellow"/>
                <w:lang w:eastAsia="en-US"/>
              </w:rPr>
            </w:pP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Антимонопольное регулирование и контроль в сфере теплоснабжения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теме.</w:t>
            </w:r>
          </w:p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C83EC2" w:rsidTr="00C83EC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Письменный опрос по пройденным темам</w:t>
            </w:r>
          </w:p>
        </w:tc>
      </w:tr>
    </w:tbl>
    <w:p w:rsidR="00C83EC2" w:rsidRDefault="00C83EC2" w:rsidP="00C83EC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C83EC2" w:rsidRDefault="00C83EC2" w:rsidP="00C83EC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C83EC2" w:rsidRDefault="00C83EC2" w:rsidP="00C83EC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C83EC2" w:rsidRDefault="00C83EC2" w:rsidP="00C83EC2">
      <w:pPr>
        <w:ind w:firstLine="705"/>
        <w:jc w:val="center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ФОРМЫ АТТЕСТАЦИИ</w:t>
      </w:r>
    </w:p>
    <w:p w:rsidR="00C83EC2" w:rsidRDefault="00C83EC2" w:rsidP="00C83EC2">
      <w:pPr>
        <w:ind w:firstLine="705"/>
        <w:jc w:val="center"/>
        <w:textAlignment w:val="baseline"/>
        <w:rPr>
          <w:rFonts w:eastAsia="Times New Roman"/>
          <w:sz w:val="24"/>
          <w:szCs w:val="24"/>
        </w:rPr>
      </w:pPr>
    </w:p>
    <w:p w:rsidR="00C83EC2" w:rsidRDefault="00C83EC2" w:rsidP="00C83EC2">
      <w:pPr>
        <w:ind w:firstLine="709"/>
        <w:jc w:val="center"/>
        <w:textAlignment w:val="baseline"/>
        <w:rPr>
          <w:rFonts w:eastAsia="Times New Roman"/>
          <w:sz w:val="24"/>
          <w:szCs w:val="24"/>
        </w:rPr>
      </w:pPr>
      <w:bookmarkStart w:id="1" w:name="_Hlk92983581"/>
      <w:r>
        <w:rPr>
          <w:rFonts w:eastAsia="Times New Roman"/>
          <w:sz w:val="24"/>
          <w:szCs w:val="24"/>
        </w:rPr>
        <w:t>8.1. Промежуточная аттестация проводится в форме зачета.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4515"/>
        <w:gridCol w:w="3764"/>
      </w:tblGrid>
      <w:tr w:rsidR="00C83EC2" w:rsidTr="00C83EC2">
        <w:trPr>
          <w:trHeight w:val="1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дисциплин (модулей)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C83EC2" w:rsidTr="00C83EC2">
        <w:trPr>
          <w:trHeight w:val="1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антимонопольного регулирования и контроля в сфере энергетики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 w:rsidP="00B768FD">
            <w:pPr>
              <w:pStyle w:val="a4"/>
              <w:numPr>
                <w:ilvl w:val="0"/>
                <w:numId w:val="4"/>
              </w:num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Цели, задачи, объекты антимонопольного регулирования и контроля в сфере энергетики.</w:t>
            </w:r>
          </w:p>
          <w:p w:rsidR="00C83EC2" w:rsidRDefault="00C83EC2" w:rsidP="00B768FD">
            <w:pPr>
              <w:pStyle w:val="a4"/>
              <w:numPr>
                <w:ilvl w:val="0"/>
                <w:numId w:val="4"/>
              </w:num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2.Источники энергетического права в области антимонопольного регулирования и контроля.</w:t>
            </w:r>
          </w:p>
          <w:p w:rsidR="00C83EC2" w:rsidRDefault="00C83EC2" w:rsidP="00B768FD">
            <w:pPr>
              <w:pStyle w:val="a4"/>
              <w:numPr>
                <w:ilvl w:val="0"/>
                <w:numId w:val="4"/>
              </w:numPr>
              <w:ind w:left="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Государственные органы, уполномоченные на осуществление антимонопольного регулирования и контроля.</w:t>
            </w:r>
          </w:p>
        </w:tc>
      </w:tr>
      <w:tr w:rsidR="00C83EC2" w:rsidTr="00C83EC2">
        <w:trPr>
          <w:trHeight w:val="1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Антимонопольное регулирование и контроль в нефтегазовом комплексе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 w:rsidP="00B768FD">
            <w:pPr>
              <w:pStyle w:val="a4"/>
              <w:numPr>
                <w:ilvl w:val="0"/>
                <w:numId w:val="5"/>
              </w:num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Энергетическое законодательство в области антимонопольного регулирования и контроля в нефтегазовом комплексе.</w:t>
            </w:r>
          </w:p>
          <w:p w:rsidR="00C83EC2" w:rsidRDefault="00C83EC2" w:rsidP="00B768FD">
            <w:pPr>
              <w:pStyle w:val="a4"/>
              <w:numPr>
                <w:ilvl w:val="0"/>
                <w:numId w:val="5"/>
              </w:num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Правовое основы обеспечения доступа к газо – и нефтепроводам.</w:t>
            </w:r>
          </w:p>
          <w:p w:rsidR="00C83EC2" w:rsidRDefault="00C83EC2" w:rsidP="00B768FD">
            <w:pPr>
              <w:pStyle w:val="a4"/>
              <w:numPr>
                <w:ilvl w:val="0"/>
                <w:numId w:val="5"/>
              </w:num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Правовое обеспечение доступа к услугам по транспортировке нефти и газа по трубопроводам.</w:t>
            </w:r>
          </w:p>
        </w:tc>
      </w:tr>
      <w:tr w:rsidR="00C83EC2" w:rsidTr="00C83EC2">
        <w:trPr>
          <w:trHeight w:val="1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Антимонопольное регулирование и контроль в сфере электроэнергетике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 w:rsidP="00B768FD">
            <w:pPr>
              <w:pStyle w:val="a4"/>
              <w:numPr>
                <w:ilvl w:val="0"/>
                <w:numId w:val="6"/>
              </w:numPr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Энергетическое законодательство в области антимонопольного регулирования и контроля в сфере электроэнергетики.</w:t>
            </w:r>
          </w:p>
          <w:p w:rsidR="00C83EC2" w:rsidRDefault="00C83EC2" w:rsidP="00B768FD">
            <w:pPr>
              <w:pStyle w:val="a4"/>
              <w:numPr>
                <w:ilvl w:val="0"/>
                <w:numId w:val="6"/>
              </w:numPr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Антимонопольное регулирование на оптовом  и розничных рынках. </w:t>
            </w:r>
          </w:p>
          <w:p w:rsidR="00C83EC2" w:rsidRDefault="00C83EC2" w:rsidP="00B768FD">
            <w:pPr>
              <w:pStyle w:val="a4"/>
              <w:numPr>
                <w:ilvl w:val="0"/>
                <w:numId w:val="6"/>
              </w:numPr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Правила недискриминационного доступа к услугам субъектов естественных монополий в сфере электроэнергетики.</w:t>
            </w:r>
          </w:p>
          <w:p w:rsidR="00C83EC2" w:rsidRDefault="00C83EC2" w:rsidP="00B768FD">
            <w:pPr>
              <w:pStyle w:val="a4"/>
              <w:numPr>
                <w:ilvl w:val="0"/>
                <w:numId w:val="6"/>
              </w:numPr>
              <w:ind w:left="93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83EC2" w:rsidTr="00C83EC2">
        <w:trPr>
          <w:trHeight w:val="1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С.04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Антимонопольное регулирование и контроль в сфере теплоснабжения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C2" w:rsidRDefault="00C83EC2" w:rsidP="00B768FD">
            <w:pPr>
              <w:pStyle w:val="a4"/>
              <w:numPr>
                <w:ilvl w:val="0"/>
                <w:numId w:val="7"/>
              </w:numPr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Энергетическое законодательство в области антимонопольного регулирования и контроля в сфере теплоснабжения.</w:t>
            </w:r>
          </w:p>
          <w:p w:rsidR="00C83EC2" w:rsidRDefault="00C83EC2" w:rsidP="00B768FD">
            <w:pPr>
              <w:pStyle w:val="a4"/>
              <w:numPr>
                <w:ilvl w:val="0"/>
                <w:numId w:val="7"/>
              </w:numPr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подключения (технологического присоединения) к системам теплоснабжения</w:t>
            </w:r>
          </w:p>
          <w:p w:rsidR="00C83EC2" w:rsidRDefault="00C83EC2" w:rsidP="00B768FD">
            <w:pPr>
              <w:pStyle w:val="a4"/>
              <w:numPr>
                <w:ilvl w:val="0"/>
                <w:numId w:val="7"/>
              </w:numPr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недискриминационного доступа к услугам по передаче тепловой энергии</w:t>
            </w:r>
          </w:p>
          <w:p w:rsidR="00C83EC2" w:rsidRDefault="00C83EC2">
            <w:pPr>
              <w:pStyle w:val="a4"/>
              <w:ind w:left="644"/>
              <w:jc w:val="both"/>
              <w:rPr>
                <w:snapToGrid w:val="0"/>
                <w:sz w:val="24"/>
                <w:szCs w:val="24"/>
              </w:rPr>
            </w:pPr>
          </w:p>
        </w:tc>
      </w:tr>
      <w:bookmarkEnd w:id="1"/>
    </w:tbl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 Итоговая аттестация проводится в форме зачета. Зачет проводится в виде письменного опроса. Программа считается освоенной, если обучающийся сдал зачет. Приводится перечень вопросов для письменного опроса, выносимых на аттестацию в форме зачета. </w:t>
      </w:r>
    </w:p>
    <w:p w:rsidR="00C83EC2" w:rsidRDefault="00C83EC2" w:rsidP="00C83EC2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:rsidR="00C83EC2" w:rsidRDefault="00C83EC2" w:rsidP="00C83EC2">
      <w:pPr>
        <w:pStyle w:val="a4"/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полные ответы на вопросы при сдаче зачета, умение последовательно излагать материал программы.</w:t>
      </w:r>
    </w:p>
    <w:p w:rsidR="00C83EC2" w:rsidRDefault="00C83EC2" w:rsidP="00C83EC2">
      <w:pPr>
        <w:pStyle w:val="a4"/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«не зачтено»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Примерные вопросы для итоговой аттестации: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C83EC2" w:rsidRDefault="00C83EC2" w:rsidP="00C83EC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состояние и тенденции развития антимонопольного регулирования и контроля в сфере энергетики. Объекты антимонопольного регулирования и контроля в сфере энергетики.. 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доступа к газотранспортной системе  ПАО «Газпром».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доступа организаций к местным газораспределительным сетям.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недискриминационного доступа к магистральным нефтепроводам.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доступа к электрическим сетям. Объекты антимонопольного регулирования и контроля в электроэнергетике. 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технологического присоединения энергопринимающих устройств потребителей к электрическим сетям. 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принципы и порядок обеспечения недискриминационного доступа к услугам по передаче электрической энергии.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антимонопольного регулирования и контроля в сфере теплоснабжения. </w:t>
      </w:r>
      <w:r>
        <w:rPr>
          <w:rFonts w:ascii="Times New Roman" w:eastAsia="Times New Roman" w:hAnsi="Times New Roman" w:cs="Times New Roman"/>
          <w:sz w:val="24"/>
          <w:szCs w:val="24"/>
        </w:rPr>
        <w:t>Порядок обеспечения недискриминационного доступа к услугам по подключению (технологическому присоединению) к системам теплоснабжения.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C2" w:rsidRDefault="00C83EC2" w:rsidP="00C83EC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орядок обеспечения недискриминационного доступа к услугам по передаче тепловой энергии, теплоносителя.</w:t>
      </w:r>
    </w:p>
    <w:p w:rsidR="00C83EC2" w:rsidRDefault="00C83EC2" w:rsidP="00C83EC2">
      <w:pPr>
        <w:pStyle w:val="a4"/>
        <w:spacing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3EC2" w:rsidRDefault="00C83EC2" w:rsidP="00C83EC2">
      <w:pPr>
        <w:shd w:val="clear" w:color="auto" w:fill="FFFFFF"/>
        <w:ind w:left="1070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9. РЕСУРСНОЕ ОБЕСПЕЧЕНИЕ ПРОГРАММЫ</w:t>
      </w:r>
    </w:p>
    <w:p w:rsidR="00C83EC2" w:rsidRDefault="00C83EC2" w:rsidP="00C83EC2">
      <w:pPr>
        <w:shd w:val="clear" w:color="auto" w:fill="FFFFFF"/>
        <w:ind w:left="1070"/>
        <w:jc w:val="center"/>
        <w:textAlignment w:val="top"/>
        <w:rPr>
          <w:bCs/>
          <w:sz w:val="24"/>
          <w:szCs w:val="24"/>
        </w:rPr>
      </w:pP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2" w:name="_Toc61021478"/>
      <w:bookmarkStart w:id="3" w:name="_Toc508197112"/>
      <w:r>
        <w:rPr>
          <w:rFonts w:eastAsia="Times New Roman"/>
          <w:b/>
          <w:sz w:val="24"/>
          <w:szCs w:val="24"/>
        </w:rPr>
        <w:t xml:space="preserve">9.1 Учебно-методическое и информационное обеспечение </w:t>
      </w:r>
      <w:bookmarkEnd w:id="2"/>
      <w:bookmarkEnd w:id="3"/>
      <w:r>
        <w:rPr>
          <w:rFonts w:eastAsia="Times New Roman"/>
          <w:b/>
          <w:sz w:val="24"/>
          <w:szCs w:val="24"/>
        </w:rPr>
        <w:t>программы</w:t>
      </w: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C83EC2" w:rsidRDefault="00C83EC2" w:rsidP="00C83EC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  <w:bookmarkStart w:id="4" w:name="_Toc476906796"/>
      <w:r>
        <w:rPr>
          <w:rFonts w:eastAsia="Times New Roman"/>
          <w:sz w:val="24"/>
          <w:szCs w:val="24"/>
          <w:lang w:bidi="ru-RU"/>
        </w:rPr>
        <w:t>Таблица 9.1.1 – Учебно-методическое обеспечение программы</w:t>
      </w:r>
    </w:p>
    <w:p w:rsidR="00C83EC2" w:rsidRDefault="00C83EC2" w:rsidP="00C83EC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</w:p>
    <w:tbl>
      <w:tblPr>
        <w:tblStyle w:val="TableNormal9"/>
        <w:tblW w:w="10065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693"/>
      </w:tblGrid>
      <w:tr w:rsidR="00C83EC2" w:rsidTr="00C83EC2">
        <w:trPr>
          <w:trHeight w:val="75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Pr="00C83EC2" w:rsidRDefault="00C83EC2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  <w:t xml:space="preserve">Библиографическое описание издания </w:t>
            </w:r>
          </w:p>
          <w:p w:rsidR="00C83EC2" w:rsidRPr="00C83EC2" w:rsidRDefault="00C83EC2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spacing w:before="127"/>
              <w:ind w:left="-12" w:right="41"/>
              <w:jc w:val="center"/>
              <w:rPr>
                <w:rFonts w:eastAsia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 w:bidi="ru-RU"/>
              </w:rPr>
              <w:t>Электронные ресурсы</w:t>
            </w:r>
          </w:p>
        </w:tc>
      </w:tr>
      <w:tr w:rsidR="00C83EC2" w:rsidTr="00C83EC2">
        <w:trPr>
          <w:trHeight w:val="9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Актуальные проблемы энергетического права: учебник / [В.В. Романова, И.А. Кашликова, А.А. Пахомов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В.В. Романовой;  Москва: Издательство «Юрист», 2015. – 379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C83EC2" w:rsidTr="00C83EC2">
        <w:trPr>
          <w:trHeight w:val="69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Pr="00C83EC2" w:rsidRDefault="00C83EC2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Энергетический правопорядок: современное состояние и задачи: [монография] / Москва: Издательство «Юрист», 2016. – 253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C83EC2" w:rsidTr="00C83EC2">
        <w:trPr>
          <w:trHeight w:val="98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Pr="00C83EC2" w:rsidRDefault="00C83EC2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В.В. Энергетическое право: учебник для подготовки кадров высшей квалификации / В. В. Романова. — Москва: Издательская группа « Юрист», 2021. — 288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C83EC2" w:rsidTr="00C83EC2">
        <w:trPr>
          <w:trHeight w:val="84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Pr="00C83EC2" w:rsidRDefault="00C83EC2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Энергетические рынки: проблемы и задачи правового регулирования : монография / В.В. Романова, А. Б. Бондаренко, А. Б. Ананьев [и др.] ; под редакцией В.В. Романовой. — Москва: Издательство « Юрист», 2018. — 240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C83EC2" w:rsidTr="00C83EC2">
        <w:trPr>
          <w:trHeight w:val="118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Pr="00C83EC2" w:rsidRDefault="00C83EC2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Издательская группа «Юрист», 2019. — 264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C83EC2" w:rsidTr="00C83EC2">
        <w:trPr>
          <w:trHeight w:val="4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Pr="00C83EC2" w:rsidRDefault="00C83EC2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Энергетическое право. Общая часть. Особенная часть: учебник / [В.В. Романова, А.А. Устинов, Н.В. Смирнов и др.]; под ред. В.В. Романовой; – Изд. 2-е, перераб. и доп. – Москва: Издательство Юрист, 2015. – 677 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C83EC2" w:rsidTr="00C83EC2">
        <w:trPr>
          <w:trHeight w:val="81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tabs>
                <w:tab w:val="left" w:pos="993"/>
              </w:tabs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C83EC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тенденции правового регулирования в области использования атомной энергии: монография / [В.В. Романова, К.А. Стальмахов, А.А. Шкарбанов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В.В. Романовой. Москва: Издательство «Юрист», 2017.— 223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C83EC2" w:rsidRDefault="00C83EC2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</w:tbl>
    <w:p w:rsidR="00C83EC2" w:rsidRDefault="00C83EC2" w:rsidP="00C83EC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</w:p>
    <w:p w:rsidR="00C83EC2" w:rsidRDefault="00C83EC2" w:rsidP="00C83EC2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  <w:bookmarkStart w:id="5" w:name="_Hlk23340624"/>
    </w:p>
    <w:bookmarkEnd w:id="5"/>
    <w:p w:rsidR="00C83EC2" w:rsidRDefault="00C83EC2" w:rsidP="00C83EC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p w:rsidR="00C83EC2" w:rsidRDefault="00C83EC2" w:rsidP="00C83EC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Наименование СПБД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</w:p>
        </w:tc>
      </w:tr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8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r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9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Научная электронная библиотека КиберЛени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ка – </w:t>
            </w:r>
            <w:hyperlink r:id="rId10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11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2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C83EC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Web of Science – </w:t>
            </w:r>
            <w:hyperlink r:id="rId13" w:history="1">
              <w:r>
                <w:rPr>
                  <w:rStyle w:val="a3"/>
                  <w:rFonts w:eastAsia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C83EC2" w:rsidRPr="005447E2" w:rsidTr="00C83E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iLibrary – </w:t>
            </w:r>
            <w:hyperlink r:id="rId14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C83EC2" w:rsidRDefault="00C83EC2" w:rsidP="00C83EC2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C83EC2" w:rsidRDefault="00C83EC2" w:rsidP="00C83EC2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p w:rsidR="00C83EC2" w:rsidRDefault="00C83EC2" w:rsidP="00C83EC2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6" w:name="_Hlk64378507"/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www.consultant.ru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5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http://www.garant.ru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16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.kodeks.ru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.ru - </w:t>
            </w:r>
            <w:hyperlink r:id="rId17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http://www.iprbookshop.ru/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18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http://www.book.ru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83EC2" w:rsidTr="00C83E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19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.urait.ru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83EC2" w:rsidTr="00C83EC2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20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.znanium.com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bookmarkEnd w:id="6"/>
    </w:tbl>
    <w:p w:rsidR="00C83EC2" w:rsidRDefault="00C83EC2" w:rsidP="00C83EC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7" w:name="_Toc61021479"/>
      <w:bookmarkStart w:id="8" w:name="_Toc43382412"/>
      <w:bookmarkStart w:id="9" w:name="_Toc508197113"/>
      <w:r>
        <w:rPr>
          <w:rFonts w:eastAsia="Times New Roman"/>
          <w:b/>
          <w:sz w:val="24"/>
          <w:szCs w:val="24"/>
        </w:rPr>
        <w:t xml:space="preserve"> 9.2 Материально-техническое обеспечение учебного процесса</w:t>
      </w:r>
      <w:bookmarkEnd w:id="7"/>
      <w:bookmarkEnd w:id="8"/>
      <w:bookmarkEnd w:id="9"/>
    </w:p>
    <w:p w:rsidR="00C83EC2" w:rsidRDefault="00C83EC2" w:rsidP="00C83EC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C83EC2" w:rsidRDefault="00C83EC2" w:rsidP="00C83EC2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eastAsia="Times New Roman"/>
          <w:i/>
          <w:sz w:val="24"/>
          <w:szCs w:val="24"/>
        </w:rPr>
        <w:t xml:space="preserve">. </w:t>
      </w:r>
    </w:p>
    <w:p w:rsidR="00C83EC2" w:rsidRDefault="00C83EC2" w:rsidP="00C83EC2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 w:bidi="ru-RU"/>
        </w:rPr>
      </w:pPr>
    </w:p>
    <w:p w:rsidR="00C83EC2" w:rsidRDefault="00C83EC2" w:rsidP="00C83EC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29"/>
      </w:tblGrid>
      <w:tr w:rsidR="00C83EC2" w:rsidTr="00C83EC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Наименование ПО</w:t>
            </w:r>
          </w:p>
        </w:tc>
      </w:tr>
      <w:tr w:rsidR="00C83EC2" w:rsidRPr="005447E2" w:rsidTr="00C83EC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Office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C83EC2" w:rsidRPr="005447E2" w:rsidTr="00C83EC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Windows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C83EC2" w:rsidTr="00C83EC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Zoom (freeware)</w:t>
            </w:r>
          </w:p>
        </w:tc>
      </w:tr>
      <w:tr w:rsidR="00C83EC2" w:rsidTr="00C83EC2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C2" w:rsidRDefault="00C83EC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7-Zip</w:t>
            </w:r>
            <w:r>
              <w:rPr>
                <w:sz w:val="24"/>
                <w:szCs w:val="24"/>
                <w:lang w:eastAsia="en-US" w:bidi="ru-RU"/>
              </w:rPr>
              <w:t xml:space="preserve">, </w:t>
            </w:r>
            <w:r>
              <w:rPr>
                <w:sz w:val="24"/>
                <w:szCs w:val="24"/>
                <w:lang w:val="en-US" w:eastAsia="en-US" w:bidi="ru-RU"/>
              </w:rPr>
              <w:t>WinRar (freeware)</w:t>
            </w:r>
          </w:p>
        </w:tc>
      </w:tr>
    </w:tbl>
    <w:p w:rsidR="00C83EC2" w:rsidRDefault="00C83EC2" w:rsidP="00C83EC2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bidi="ru-RU"/>
        </w:rPr>
      </w:pPr>
    </w:p>
    <w:bookmarkEnd w:id="4"/>
    <w:p w:rsidR="00C83EC2" w:rsidRDefault="00C83EC2" w:rsidP="00C83EC2"/>
    <w:p w:rsidR="00311EB0" w:rsidRDefault="00311EB0">
      <w:pPr>
        <w:rPr>
          <w:color w:val="000000"/>
          <w:sz w:val="24"/>
          <w:szCs w:val="24"/>
          <w:shd w:val="clear" w:color="auto" w:fill="FFFFFF"/>
        </w:rPr>
      </w:pPr>
    </w:p>
    <w:p w:rsidR="00311EB0" w:rsidRDefault="00311EB0">
      <w:pPr>
        <w:rPr>
          <w:color w:val="000000"/>
          <w:sz w:val="24"/>
          <w:szCs w:val="24"/>
          <w:shd w:val="clear" w:color="auto" w:fill="FFFFFF"/>
        </w:rPr>
      </w:pPr>
    </w:p>
    <w:p w:rsidR="00311EB0" w:rsidRDefault="00311EB0">
      <w:pPr>
        <w:rPr>
          <w:color w:val="000000"/>
          <w:sz w:val="24"/>
          <w:szCs w:val="24"/>
          <w:shd w:val="clear" w:color="auto" w:fill="FFFFFF"/>
        </w:rPr>
      </w:pPr>
    </w:p>
    <w:p w:rsidR="00311EB0" w:rsidRDefault="00311EB0">
      <w:pPr>
        <w:rPr>
          <w:color w:val="000000"/>
          <w:sz w:val="24"/>
          <w:szCs w:val="24"/>
          <w:shd w:val="clear" w:color="auto" w:fill="FFFFFF"/>
        </w:rPr>
      </w:pPr>
    </w:p>
    <w:p w:rsidR="00311EB0" w:rsidRDefault="00311EB0">
      <w:pPr>
        <w:rPr>
          <w:color w:val="000000"/>
          <w:sz w:val="24"/>
          <w:szCs w:val="24"/>
          <w:shd w:val="clear" w:color="auto" w:fill="FFFFFF"/>
        </w:rPr>
      </w:pPr>
    </w:p>
    <w:p w:rsidR="00311EB0" w:rsidRDefault="00311EB0">
      <w:pPr>
        <w:rPr>
          <w:color w:val="000000"/>
          <w:sz w:val="24"/>
          <w:szCs w:val="24"/>
          <w:shd w:val="clear" w:color="auto" w:fill="FFFFFF"/>
        </w:rPr>
      </w:pPr>
    </w:p>
    <w:p w:rsidR="00C440AD" w:rsidRPr="00311EB0" w:rsidRDefault="005447E2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© Романова В.В., 2022</w:t>
      </w:r>
      <w:bookmarkStart w:id="10" w:name="_GoBack"/>
      <w:bookmarkEnd w:id="10"/>
      <w:r w:rsidR="00311EB0" w:rsidRPr="00311EB0">
        <w:rPr>
          <w:color w:val="000000"/>
          <w:sz w:val="24"/>
          <w:szCs w:val="24"/>
          <w:shd w:val="clear" w:color="auto" w:fill="FFFFFF"/>
        </w:rPr>
        <w:t>.</w:t>
      </w:r>
    </w:p>
    <w:sectPr w:rsidR="00C440AD" w:rsidRPr="00311EB0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D8" w:rsidRDefault="00C331D8" w:rsidP="00C83EC2">
      <w:r>
        <w:separator/>
      </w:r>
    </w:p>
  </w:endnote>
  <w:endnote w:type="continuationSeparator" w:id="0">
    <w:p w:rsidR="00C331D8" w:rsidRDefault="00C331D8" w:rsidP="00C8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248385"/>
      <w:docPartObj>
        <w:docPartGallery w:val="Page Numbers (Bottom of Page)"/>
        <w:docPartUnique/>
      </w:docPartObj>
    </w:sdtPr>
    <w:sdtEndPr/>
    <w:sdtContent>
      <w:p w:rsidR="00C83EC2" w:rsidRDefault="00C83E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D8">
          <w:rPr>
            <w:noProof/>
          </w:rPr>
          <w:t>1</w:t>
        </w:r>
        <w:r>
          <w:fldChar w:fldCharType="end"/>
        </w:r>
      </w:p>
    </w:sdtContent>
  </w:sdt>
  <w:p w:rsidR="00C83EC2" w:rsidRDefault="00C83E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D8" w:rsidRDefault="00C331D8" w:rsidP="00C83EC2">
      <w:r>
        <w:separator/>
      </w:r>
    </w:p>
  </w:footnote>
  <w:footnote w:type="continuationSeparator" w:id="0">
    <w:p w:rsidR="00C331D8" w:rsidRDefault="00C331D8" w:rsidP="00C8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31C3"/>
    <w:multiLevelType w:val="hybridMultilevel"/>
    <w:tmpl w:val="BDDE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93055"/>
    <w:multiLevelType w:val="hybridMultilevel"/>
    <w:tmpl w:val="94B45396"/>
    <w:lvl w:ilvl="0" w:tplc="FF0054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63A7F"/>
    <w:multiLevelType w:val="hybridMultilevel"/>
    <w:tmpl w:val="14A0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E4CAC"/>
    <w:multiLevelType w:val="hybridMultilevel"/>
    <w:tmpl w:val="1AF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F7B6C"/>
    <w:multiLevelType w:val="hybridMultilevel"/>
    <w:tmpl w:val="5EEAA03C"/>
    <w:lvl w:ilvl="0" w:tplc="7A2A0EBC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C7756"/>
    <w:multiLevelType w:val="hybridMultilevel"/>
    <w:tmpl w:val="6F22FB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DF80238"/>
    <w:multiLevelType w:val="hybridMultilevel"/>
    <w:tmpl w:val="C92E5E8E"/>
    <w:lvl w:ilvl="0" w:tplc="0938E632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A"/>
    <w:rsid w:val="00311EB0"/>
    <w:rsid w:val="003A6F3B"/>
    <w:rsid w:val="005447E2"/>
    <w:rsid w:val="006D33BA"/>
    <w:rsid w:val="007D31A7"/>
    <w:rsid w:val="008361E1"/>
    <w:rsid w:val="00C27084"/>
    <w:rsid w:val="00C331D8"/>
    <w:rsid w:val="00C440AD"/>
    <w:rsid w:val="00C54045"/>
    <w:rsid w:val="00C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83E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E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83E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C83E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C83E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E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83E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EC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83E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E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83E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C83E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C83E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E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83E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EC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ennikon.ru" TargetMode="External"/><Relationship Id="rId13" Type="http://schemas.openxmlformats.org/officeDocument/2006/relationships/hyperlink" Target="http://webofscience.com/" TargetMode="External"/><Relationship Id="rId18" Type="http://schemas.openxmlformats.org/officeDocument/2006/relationships/hyperlink" Target="http://www.book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opus.com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" TargetMode="External"/><Relationship Id="rId20" Type="http://schemas.openxmlformats.org/officeDocument/2006/relationships/hyperlink" Target="http://www.znani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pr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ura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www.oecd-ilibrary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A3117nna</cp:lastModifiedBy>
  <cp:revision>8</cp:revision>
  <dcterms:created xsi:type="dcterms:W3CDTF">2022-02-12T21:13:00Z</dcterms:created>
  <dcterms:modified xsi:type="dcterms:W3CDTF">2022-10-23T18:35:00Z</dcterms:modified>
</cp:coreProperties>
</file>