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29"/>
      </w:tblGrid>
      <w:tr>
        <w:tblPrEx/>
        <w:trPr>
          <w:trHeight w:val="660"/>
        </w:trPr>
        <w:tc>
          <w:tcPr>
            <w:tcW w:w="9529" w:type="dxa"/>
            <w:textDirection w:val="lrTb"/>
            <w:noWrap w:val="false"/>
          </w:tcPr>
          <w:p>
            <w:pPr>
              <w:ind w:right="567"/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pacing w:val="30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rFonts w:ascii="Times New Roman" w:hAnsi="Times New Roman" w:eastAsia="Times New Roman" w:cs="Times New Roman"/>
                <w:b/>
                <w:spacing w:val="30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pacing w:val="30"/>
                <w:sz w:val="28"/>
                <w14:ligatures w14:val="none"/>
              </w:rPr>
            </w:r>
          </w:p>
        </w:tc>
      </w:tr>
    </w:tbl>
    <w:p>
      <w:pPr>
        <w:ind w:right="567"/>
        <w:jc w:val="right"/>
        <w:spacing w:after="0" w:line="240" w:lineRule="auto"/>
        <w:widowControl w:val="off"/>
        <w:tabs>
          <w:tab w:val="left" w:pos="4075" w:leader="none"/>
        </w:tabs>
        <w:rPr>
          <w:rFonts w:ascii="Times New Roman" w:hAnsi="Times New Roman" w:eastAsia="Times New Roman" w:cs="Times New Roman"/>
          <w:b/>
          <w:caps/>
          <w:sz w:val="28"/>
          <w14:ligatures w14:val="none"/>
        </w:rPr>
      </w:pPr>
      <w:r/>
      <w:bookmarkStart w:id="0" w:name="_Hlk24113178"/>
      <w:r>
        <w:rPr>
          <w:rFonts w:ascii="Times New Roman" w:hAnsi="Times New Roman" w:eastAsia="Times New Roman" w:cs="Times New Roman"/>
          <w:b/>
          <w:caps/>
          <w:sz w:val="28"/>
          <w14:ligatures w14:val="none"/>
        </w:rPr>
      </w:r>
      <w:r>
        <w:rPr>
          <w:rFonts w:ascii="Times New Roman" w:hAnsi="Times New Roman" w:eastAsia="Times New Roman" w:cs="Times New Roman"/>
          <w:b/>
          <w:caps/>
          <w:sz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Программа кандидатского экзамена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по специальной дисциплине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в соответствии с темой диссертации на соискание ученой степени кандидата наук 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sz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14:ligatures w14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>
          <w:trHeight w:val="853"/>
        </w:trPr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right="567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Научная специальность </w:t>
            </w:r>
            <w:r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14:ligatures w14:val="none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right="567"/>
              <w:spacing w:after="0" w:line="252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5.1.2. Публично-правовые (государственно-правовые) науки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5.1.3. Частно-правовые (цивилистические) науки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5.1.5. Международно-правовые науки</w:t>
            </w:r>
            <w:r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i/>
                <w:color w:val="e36c0a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Уровень высшего образования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Форма обучения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  <w:p>
            <w:pPr>
              <w:ind w:right="56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14:ligatures w14:val="none"/>
              </w:rPr>
            </w:r>
          </w:p>
        </w:tc>
      </w:tr>
    </w:tbl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2025 г.</w:t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© Романова В.В., 2025 год.</w:t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© АНО «Научно-исследовательский</w:t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 «Центр развития энергетического права и </w:t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современной правовой науки </w:t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  <w:t xml:space="preserve">имени В.А. Мусина», методическое оформление, 2025.</w:t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spacing w:after="0" w:line="240" w:lineRule="auto"/>
        <w:widowControl w:val="off"/>
        <w:rPr>
          <w:rFonts w:ascii="Times New Roman" w:hAnsi="Times New Roman" w:eastAsia="Times New Roman" w:cs="Times New Roman"/>
          <w:sz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bookmarkEnd w:id="0"/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ind w:right="567"/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14:ligatures w14:val="non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0"/>
          <w:numId w:val="2"/>
        </w:numPr>
        <w:jc w:val="center"/>
        <w:spacing w:before="74" w:after="0" w:line="240" w:lineRule="auto"/>
        <w:widowControl w:val="off"/>
        <w:tabs>
          <w:tab w:val="left" w:pos="1290" w:leader="none"/>
        </w:tabs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ОБЩИЕ</w:t>
      </w:r>
      <w:r>
        <w:rPr>
          <w:rFonts w:ascii="Times New Roman" w:hAnsi="Times New Roman" w:eastAsia="Times New Roman" w:cs="Times New Roman"/>
          <w:b/>
          <w:spacing w:val="-7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ПОЛОЖЕНИЯ</w:t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numPr>
          <w:ilvl w:val="1"/>
          <w:numId w:val="1"/>
        </w:numPr>
        <w:ind w:left="0" w:right="3" w:firstLine="850"/>
        <w:jc w:val="both"/>
        <w:spacing w:after="0" w:line="237" w:lineRule="auto"/>
        <w:widowControl w:val="off"/>
        <w:tabs>
          <w:tab w:val="left" w:pos="2233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Программа кандидатского экзамена по специальной дисциплине в соответствии с темой диссертации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(далее – Программа кандидатского экзамена, специальная дисциплина) разработана в соответствии</w:t>
      </w:r>
      <w:r>
        <w:rPr>
          <w:rFonts w:ascii="Times New Roman" w:hAnsi="Times New Roman" w:eastAsia="Times New Roman" w:cs="Times New Roman"/>
          <w:spacing w:val="8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959"/>
        <w:numPr>
          <w:ilvl w:val="0"/>
          <w:numId w:val="28"/>
        </w:numPr>
        <w:ind w:left="0" w:right="3" w:firstLine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 Федеральным законом от 29 декабря 2012 г. № 273-ФЗ «Об образовании в Российской Федерации»;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9"/>
        <w:numPr>
          <w:ilvl w:val="0"/>
          <w:numId w:val="28"/>
        </w:numPr>
        <w:ind w:left="0" w:right="3" w:firstLine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24 сентября 2013 г.№ 842 «О порядке присуждения ученых степеней»;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9"/>
        <w:numPr>
          <w:ilvl w:val="0"/>
          <w:numId w:val="28"/>
        </w:numPr>
        <w:ind w:left="0" w:right="3" w:firstLine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 ноября 2021 г. № 2122 «Об утверждении</w:t>
      </w:r>
      <w:r>
        <w:rPr>
          <w:rFonts w:ascii="Times New Roman" w:hAnsi="Times New Roman"/>
          <w:sz w:val="28"/>
        </w:rPr>
        <w:t xml:space="preserve"> Положения о подготовке научных и научно-педагогических кадров в аспирантуре (адъюнктуре)»;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9"/>
        <w:numPr>
          <w:ilvl w:val="0"/>
          <w:numId w:val="24"/>
        </w:numPr>
        <w:ind w:left="0" w:right="3" w:firstLine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</w:rPr>
        <w:t xml:space="preserve">Приказом Минобрнауки России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</w:t>
      </w:r>
      <w:r>
        <w:rPr>
          <w:rFonts w:ascii="Times New Roman" w:hAnsi="Times New Roman"/>
          <w:sz w:val="28"/>
          <w:szCs w:val="28"/>
        </w:rPr>
        <w:t xml:space="preserve">адъюнктуре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9"/>
        <w:numPr>
          <w:ilvl w:val="0"/>
          <w:numId w:val="24"/>
        </w:numPr>
        <w:ind w:left="0" w:right="3" w:firstLine="85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</w:rPr>
        <w:t xml:space="preserve">Минобрнауки России </w:t>
      </w:r>
      <w:r>
        <w:rPr>
          <w:rFonts w:ascii="Times New Roman" w:hAnsi="Times New Roman"/>
          <w:sz w:val="28"/>
          <w:szCs w:val="28"/>
        </w:rPr>
        <w:t xml:space="preserve">от 24 февраля 2021 г. № 118 «Об утверждении номенклатуры научных специальностей, по которым присуждаются ученые степени;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9"/>
        <w:numPr>
          <w:ilvl w:val="0"/>
          <w:numId w:val="24"/>
        </w:numPr>
        <w:ind w:left="0" w:right="3" w:firstLine="85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Уставом и соо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тветствующими локальными нормативными актами Автономной некоммерческой организации «Научно-исследовательский «Центр развития энергетического права и современной правовой науки имени В.А.Мусина» (далее - Центр).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3" w:firstLine="850"/>
        <w:jc w:val="both"/>
        <w:spacing w:before="3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1.2. Программа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кандидатского экзамена регламентирует содержание, порядок сдачи кандидатского экзамена, состав экзаменационной комиссии, порядок оценки уровня знаний соискателя ученой степени кандидата наук и включает перечень вопросов, выносимых на кандидатский экзамен.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3" w:firstLine="850"/>
        <w:jc w:val="both"/>
        <w:spacing w:before="3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1.3. Ка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ндидатский экзамен по специальной дисциплине представляет собой форму оценки степени подготовленности аспиранта к проведению научных исследований по конкретной научной специальности и отрасли науки, по которой подготавливается или подготовлена диссертация.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right="3" w:firstLine="850"/>
        <w:jc w:val="both"/>
        <w:spacing w:before="3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yellow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1.4. На кандидатском экзамене по специальной дисциплине в соответствии с темой диссертации аспирант должен представить письменный ответ по форме, установленной настоящей программой и отвечающий критериям оценки, указанными в пункте 3 настоящей программы. </w:t>
      </w:r>
      <w:r>
        <w:rPr>
          <w:rFonts w:ascii="Times New Roman" w:hAnsi="Times New Roman" w:cs="Times New Roman"/>
          <w:sz w:val="28"/>
          <w:szCs w:val="28"/>
          <w:highlight w:val="yellow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yellow"/>
          <w14:ligatures w14:val="none"/>
        </w:rPr>
      </w:r>
    </w:p>
    <w:p>
      <w:pPr>
        <w:ind w:right="3" w:firstLine="850"/>
        <w:jc w:val="both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Для приема</w:t>
      </w:r>
      <w:r>
        <w:rPr>
          <w:rFonts w:ascii="Times New Roman" w:hAnsi="Times New Roman" w:cs="Times New Roman"/>
          <w:sz w:val="28"/>
          <w:szCs w:val="28"/>
        </w:rPr>
        <w:t xml:space="preserve"> кандидатского экзамена создается экзаменационная комиссия по приему кандидатских экзаменов, состав которой утверждается приказом директора АНО «Научно-исследовательский «Центр развития энергетического права и современной правовой науки имени В.А. Мусина».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right="3" w:firstLine="850"/>
        <w:jc w:val="both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1.6. Экзаменационная комиссия по приему кандидатского экзамена по специальной дисциплине формируется из числа научно-педагогических работников Центра в составе в не более 5 человек.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right="3" w:firstLine="850"/>
        <w:jc w:val="both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1.7 В состав экзаменационной комиссии входит председатель комиссии,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</w:t>
      </w:r>
      <w:r>
        <w:rPr>
          <w:rFonts w:ascii="Times New Roman" w:hAnsi="Times New Roman" w:cs="Times New Roman"/>
          <w:sz w:val="28"/>
          <w:szCs w:val="28"/>
        </w:rPr>
        <w:t xml:space="preserve">седателя комиссии, а также не менее 3 специалистов, имеющих ученую степень доктора наук по научной специальности, соответствующей специальной дисциплине. В состав экзаменационной комиссии могут включаться научно-педагогические работники других организаций.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right="3" w:firstLine="850"/>
        <w:jc w:val="both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экзаменационной комиссии оформляется протоколом, в котором указываются шифр и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именование научной специальности по которой сдан кандидатский экзамен; оценка уровня знаний по кандидатскому экзамену; фамилия, имя, отчество (последнее - при наличии), ученая степень.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spacing w:before="1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line="275" w:lineRule="exact"/>
        <w:widowControl w:val="off"/>
        <w:tabs>
          <w:tab w:val="left" w:pos="20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outlineLvl w:val="3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2.ПОРЯДОК СДАЧИ ЭКЗАМЕНА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line="275" w:lineRule="exact"/>
        <w:widowControl w:val="off"/>
        <w:tabs>
          <w:tab w:val="left" w:pos="2055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outlineLvl w:val="3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    2.1. Экзамен по специальной дисциплине по научным специальностям: 5.1.2. Публично-правовые (государственно-правовые) науки; 5.1.3. Частно-правовые (цивилистические) науки; 5.1.5. Международно-правовые науки проводится письменно.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Для проведения экзамена формируются билеты с вопросами (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№1)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в соответствии с темой диссертации. Билеты направляются аспиранту индивидуально п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о электронной почте в срок не менее, чем за четыре  недели до срока сдачи экзамена. Аспирант готовит экзаменационную работу с ответом на 1 (один) из представленных в билете вопросов. Выбор вопроса, на который будет подготовлен ответ, принадлежит аспиранту.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В срок до 11 апреля 2025 г. (включительно) выполненная работа, с указанием номера и названия выбранного вопроса, направляется на электронный адрес Центра и в копии на электронный адрес научного руководителя аспиранта.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Минимальный объем ответа на вопрос: 20 страниц форм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ата А4, шрифт 14, полтора интервала. Максимальный 25 страниц формата А4, шрифт 14, полтора интервала. Оформление ответа должно соответствовать требованиям к оформлению научной публикации. Ответ сопровождается отчетом о проверке статьи в системе Антиплагиат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роцент оригинальности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материала должен составлять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не менее 80%</w:t>
      </w:r>
      <w:r>
        <w:rPr>
          <w:rFonts w:ascii="Arial" w:hAnsi="Arial" w:eastAsia="Arial" w:cs="Arial"/>
          <w:color w:val="000000"/>
          <w:sz w:val="21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Пример оформления: </w:t>
      </w:r>
      <w:hyperlink r:id="rId10" w:tooltip="https://mlcjournal.ru/rules-for-authors-mlc.html" w:history="1">
        <w:r>
          <w:rPr>
            <w:rStyle w:val="935"/>
            <w:rFonts w:ascii="Times New Roman" w:hAnsi="Times New Roman" w:eastAsia="Times New Roman" w:cs="Times New Roman"/>
            <w:sz w:val="28"/>
            <w:szCs w:val="28"/>
            <w14:ligatures w14:val="none"/>
          </w:rPr>
          <w:t xml:space="preserve">https://mlcjournal.ru/rules-for-authors-mlc.html</w:t>
        </w:r>
      </w:hyperlink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2.2. В случае не представления экзаменационных ответов  в срок до 11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апреля  2025 г. (включительно)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по уважительной причине, подтвержденной документально, дата проведения экзамена переносится на 18 апреля 2025 года.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Уважительными причинами неявки аспиранта на кандидатский экзамен являются: болезнь аспиранта; необходимость ухода за родственником либо смерть ближайшего родственника; авария; катаклизм и чрезвычайная ситуация; ожидание авари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йных или спасательных служб; нахождение под арестом; присутствие на следственных действиях по повестке; участие в судебном заседании; работа в избирательной компании; выполнение государственных обязанностей по работе или в рамках волонтерской деятельности.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   Указанные обстоятельства должны быть подтверждены документами, оформленными в установленном порядке.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2.3. Ведомости с оценками экзаменационной комиссии размещаются в личном кабинете обучающегося не позднее 28 апреля 2025 г.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t xml:space="preserve">3.ШКАЛА ОЦЕНИВАНИЯ ЭКЗАМЕНА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14:ligatures w14:val="none"/>
        </w:rPr>
      </w:r>
    </w:p>
    <w:tbl>
      <w:tblPr>
        <w:tblW w:w="97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54"/>
        <w:gridCol w:w="6638"/>
      </w:tblGrid>
      <w:tr>
        <w:tblPrEx/>
        <w:trPr>
          <w:jc w:val="center"/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none"/>
              </w:rPr>
              <w:t xml:space="preserve">Оценка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none"/>
              </w:rPr>
              <w:t xml:space="preserve">Содержание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14:ligatures w14:val="none"/>
              </w:rPr>
            </w:r>
          </w:p>
        </w:tc>
      </w:tr>
      <w:tr>
        <w:tblPrEx/>
        <w:trPr>
          <w:jc w:val="center"/>
          <w:trHeight w:val="43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     «5»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(отлично)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639" w:type="dxa"/>
            <w:textDirection w:val="lrTb"/>
            <w:noWrap w:val="false"/>
          </w:tcPr>
          <w:p>
            <w:pPr>
              <w:pStyle w:val="95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Требования  к объему и  к оформлению  (в том числе в части аннотации)  соблюдены в полном объеме 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Актуальность обоснована в полном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Постановка научной или научно-практической проблемы обоснована.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Степень изученности проблемы в работах российских и зарубежных авторов освещена в полом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Количество использованных источников достаточное.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Выводы, предложения, рекомендации обоснованы.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43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«4» (хорошо)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9" w:type="dxa"/>
            <w:textDirection w:val="lrTb"/>
            <w:noWrap w:val="false"/>
          </w:tcPr>
          <w:p>
            <w:pPr>
              <w:pStyle w:val="95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Требования  к объему (в том числе в части аннотации)  соблюдены в полном объеме. Имеются отдельные недостатки в оформлении.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Актуальность обоснована в полном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Постановка научной или научно-практической проблемы обоснована.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Степень изученности проблемы в работах российских и зарубежных авторов освещена в полом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Количество использованных источников достаточное.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61"/>
              <w:numPr>
                <w:ilvl w:val="0"/>
                <w:numId w:val="39"/>
              </w:numPr>
              <w:spacing w:before="0" w:beforeAutospacing="0" w:after="0" w:afterAutospacing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Выводы, предложения, рекомендации требуют уточнений формулировок.</w:t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  <w:r>
              <w:rPr>
                <w:rFonts w:eastAsia="Arial Unicode MS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  <w:trHeight w:val="46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(удовлетворительно)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8"/>
              </w:num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Требования  к объему (в том числе в части аннотации)  соблюдены в полном объеме. Имеются отдельные недостатки в оформлении.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8"/>
              </w:num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Актуальность обоснована не в полном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Постановка научной или научно-практической проблемы недостаточно  обоснована.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Степень изученности проблемы в работах российских и зарубежных авторов освещена не в полом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Количество использованных источников недостаточное.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Выводы, предложения, рекомендации 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  <w:t xml:space="preserve">требуют уточнений формулировок.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blPrEx/>
        <w:trPr>
          <w:jc w:val="center"/>
          <w:trHeight w:val="4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t xml:space="preserve">«2» (неудовлетворительно)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7"/>
              </w:num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Требования  к объему (в том числе в части аннотации)  и к оформлению не соблюдены.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7"/>
              </w:numPr>
              <w:jc w:val="both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Актуальность обоснована не в полном объеме.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Постановка научной или научно-практической проблемы не   обоснована.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Степень изученности проблемы в работах российских и зарубежных авторов не освещена.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Количество использованных источников недостаточное.</w:t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Style w:val="959"/>
              <w:numPr>
                <w:ilvl w:val="0"/>
                <w:numId w:val="37"/>
              </w:numPr>
              <w:jc w:val="both"/>
              <w:tabs>
                <w:tab w:val="left" w:pos="1386" w:leader="none"/>
              </w:tabs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  <w14:ligatures w14:val="none"/>
              </w:rPr>
              <w:t xml:space="preserve">Выводы, предложения, рекомендации отсутствуют или не обоснованы.</w:t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contextualSpacing/>
        <w:ind w:right="-1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  <w:sectPr>
          <w:footerReference w:type="default" r:id="rId9"/>
          <w:footnotePr/>
          <w:endnotePr/>
          <w:type w:val="nextPage"/>
          <w:pgSz w:w="11910" w:h="16840" w:orient="portrait"/>
          <w:pgMar w:top="851" w:right="851" w:bottom="1134" w:left="851" w:header="0" w:footer="975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14:ligatures w14:val="none"/>
        </w:rPr>
        <w:t xml:space="preserve">БИЛЕТЫ ДЛЯ ПИСЬМЕННОГО КАНДИДАТСКОГО ЭКЗАМЕНА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tbl>
      <w:tblPr>
        <w:tblStyle w:val="809"/>
        <w:tblW w:w="0" w:type="auto"/>
        <w:tblLayout w:type="fixed"/>
        <w:tblLook w:val="04A0" w:firstRow="1" w:lastRow="0" w:firstColumn="1" w:lastColumn="0" w:noHBand="0" w:noVBand="1"/>
      </w:tblPr>
      <w:tblGrid>
        <w:gridCol w:w="1700"/>
        <w:gridCol w:w="4536"/>
        <w:gridCol w:w="4109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№ билета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Вопрос 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Вопрос 2 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линейных объектов системы газоснабжения и источники правового регулирования строительства и эксплуатации линейных объектов системы газоснабжения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публичного сервитута и источники правового регулирования установления публичного сервитута для строительства и эксплуатации линейных объектов системы газоснабжения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Основы правового режима земельных участков для размещения объектов энергетики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Введение в гражданский оборот земельных участков для размещения объектов энергетики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климатического проекта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реализации климатических проектов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Понятие, виды реабилитационных медицинских центров и источники правового регулирования порядка их создания и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субъектов права на получение реабилитационной медицинской помощи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Объекты электросетевого хозяйства как вид объектов топливно-энергетического комплекса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Объекты электросетевого хозяйства как движимые и недвижимые вещи в сфере электроэнергетики</w:t>
            </w:r>
            <w:r/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особенности атрибутов генерации и сертификатов происхождения электрической энергии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Атрибуты генерации и сертификаты происхождения электрической энергии как объекты гражданских прав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рынка сжиженного природного газа и источники правового регулирования функционирования рынка сжиженного природного газа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рынка сжиженного природного газа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основы института перестрахования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Гражданско-правовые механизмы регулирования института перестрахования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Билет №9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Понятие компаний топливно-энергетического комплекса с зарубежным участием и источники правового регулирования их деятельности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Особенности и ограничения при осуществлении корпоративного управления в компаниях топливно-энергетического комплекса с зарубежным участием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1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№10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деятельности медицинских организаций как участников на рынке добровольного медицинского страхования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Договорное регулирование отношений с участием медицинских организаций на рынке добровольного медицинского страхования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1136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№11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Система правового регулирования деятельности сетевых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сетевых организаций как участников публично-правовых отношений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информационной безопасности страховой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и контроль над обеспечением информационной безопасности страховой деятельности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Правовой режим судов и иных плавсредств с ядерными установками и радиационными источниками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отношений в связи с выводом из эксплуатации судов и иных плавсредств с ядерными установками и радиационными источниками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регулирование зон с особыми условиями использования территорий, возникающих в связи с размещением магистральных нефтепроводов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Правовые гарантии соблюдения режима охранных зон, минимальных расстояний и санитарно-защитных зон магистральных нефтепроводов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Купля-продажа мощности как особо конкурентного отбора мощности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Элементы договора купли-продажи мощности по результатам конкурентного отбора мощности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История правового регулирования медицинского страхования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регулирование медицинского страхования в Российской Федерации на современном этапе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Источники правового регулирования телемедицинских услуг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Организационно-правовые модели оказания телемедицинских услуг в межгосударственных объединениях и зарубежных странах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ядерно и радиационно опасных объектов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положения организаций, эксплуатирующих ядерно и радиационно опасных объектов в Российской Федерации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общественных отношений в сфере резервирования электрической мощности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отношений по резервированию электрической мощности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виды ответственности за неисполнение обязательств по оплате энергоресурсов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Правовой анализ платежной дисциплины потребителей энергоресурсов в сфере электроснабжения, теплоснабжения и газоснабжения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обязательного медицинского страхования и источников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публично-правового регулирования в сфере обязательного медицинского страхования в Российской Федерации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специальных экономических зон и источников правового регулирования порядка их формирования и функционирования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Порядок формирования и функционирования специальных экономических зон со сферой инвестирования в области энергетики за рубежом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Понятие, виды беспилотных транспортных средств и источники правового регулирования их 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использования беспилотных транспортных средств в Российской Федерации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содержание и источники правового регулирования экспорта нефти и нефтепродуктов из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экспорта нефти и нефтепродуктов из Российской Федерации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содержание антимонопольного регулирования и контроля в сфере электроэнергетики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Средства антимонопольного регулирования в электроэнергетике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Медиация как альтернативная процедура урегулирования споров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Процедура проведения медиации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подходы к развитию системы обязательного медицинского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Нормативно-правовая база оказания медицинских услуг по программам ОМС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предмет заключения акционерного соглашения с иностранными акционерами в нефтегазовых компаниях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регулирования заключения и исполнения акционерного соглашения в нефтегазовых компаниях государств-членов Евразийского экономического союза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№29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деятельности страховых организаций как участников рынка добровольного медицинского страхования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страховых организаций как участников частноправовых отношении в сфере добровольного медицинского страхования</w:t>
            </w:r>
            <w:r/>
          </w:p>
        </w:tc>
      </w:tr>
      <w:tr>
        <w:tblPrEx/>
        <w:trPr>
          <w:trHeight w:val="57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переработки природного газа и источники правового регулирования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Договорное регулирование отношений по переработке природного газа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№31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 на строительство генерирующих объектов, функционирующих на основе возобновляемых источников энергии как важных инвестиционный инструмент развития ВИЭ генерации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Элементы договора на строительство генерирующих объектов, функционирующих на основе возобновляемых источников энергии</w:t>
            </w:r>
            <w:r/>
          </w:p>
        </w:tc>
      </w:tr>
      <w:tr>
        <w:tblPrEx/>
        <w:trPr>
          <w:trHeight w:val="5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Понятия и виды договоров обязательного медицинского страхования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Нормативные правовые основы ОМС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характеристика программ для электронных вычислительных машин как объектов гражданских прав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Гражданско-правовые способы распоряжения исключительным правом на программу для ЭВМ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IT платформы и источники правового регулирования их использования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IT платформы и источники правового регулирования их использования за рубежом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Использование информационных технологий в сфере обязательного медицинского страхования как предмет научного правового исследования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Основные аспекты охраны информации в обязательном медицинском страховании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задачи, источники правового регулирования возмещения вреда окружающей среде от загрязнения нефтью и нефтепродуктами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Порядок возмещения вреда окружающей среде от загрязнения нефти и нефтепродуктами, определение его размера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договора добровольного медицинского страхования и источники правового регулирования отношений, возникающих при осуществлении добровольного медицинского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Порядок заключения договора добровольного медицинского страхования и виды страховых случаев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подходы к защите морской среды от загрязнения при судоходстве по Северному морскому пути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Международно-правовые инструменты защиты морской среды от загрязнения при судоходстве по Северному морскому пути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дополнительного инвестиционного дохода в договорах страхования жизни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Становление правового регулирования инвестиционного дохода в страховании жизни</w:t>
            </w:r>
            <w:r/>
          </w:p>
        </w:tc>
      </w:tr>
      <w:tr>
        <w:tblPrEx/>
        <w:trPr>
          <w:trHeight w:val="17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международно-правового регулирования строительства атомных электростанций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возникновения договорных отношений, обеспечения исполнения обязательств и обеспечение защиты инвестиций при реализации трансграничных проектов по строительству атомных электростанций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расчетов за тепловую энергию (мощность), теплоноситель и за услуги по передаче тепловой энергии, теплоносителя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цен (тарифов) в сфере теплоснабжения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содержание, виды медицинского страхования и источники правового регулирования института медицинского страхования в системе здравоохранения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медицинского страхования в системе здравоохранения Российской Федерации</w:t>
            </w:r>
            <w:r/>
          </w:p>
        </w:tc>
      </w:tr>
      <w:tr>
        <w:tblPrEx/>
        <w:trPr>
          <w:trHeight w:val="19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биржевых торгов энергетическими ресурсами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биржи как порядок взаимодействия с участниками торгов, инфраструктурными организациями, а также уполномоченными органами, осуществляющими регулирование и контроль за организацией биржевых торгов энергетическими ресурсами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Сетевая организация как коммерческая организация, оказывающая услуги в сфере энергоснабжения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правового положения Федеральной сетевой компании - Россети и территориальных сетевых организаций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Правовые аспекты киберстрахования в сфере энергетики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Обеспечение правовой защиты информационных активов в сфере энергетики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регулирования договорных отношений на розничных рынках электрической энергии (мощности) в России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элементы договора энергоснабжения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основы обеспечения информационной безопасности личности в сети "Интернет"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в сфере обеспечения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информационной безопасности личности в сети «Интернет».</w:t>
            </w:r>
            <w:r/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Правовые основы регулирования отношений с участием независимых производителей газа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Оценка содержания норм российского законодательства, ограничивающих возможность справедливой конкуренции для независимых производителей газа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переработки попутного нефтяного газа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Договорное регулирование отношений по переработке попутного нефтяного газа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страхования профессиональной ответственности медицинских работников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предоставления медицинской помощи надлежащего качества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участников торгов на биржевом товарном рывке и источники правового регулирования из деятельности на биржевом товарном рынке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обеспечение соблюдения участниками торгов требований на биржевом товарном рынке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виды международных газовых проектов. Источники правового регулирования трудовых отношений при осуществлении международных газовых проектов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регулирование трудовых отношений в рамках международных газовых проектов за рубежом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Виды цифровых технологий для корпоративного управления и источников их правового регулирования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Виды цифровых технологий для корпоративного управления и источники их правового регулирования в государствах-членах Евразийского экономического союза и источники их правового регулирования</w:t>
            </w:r>
            <w:r/>
          </w:p>
        </w:tc>
      </w:tr>
    </w:tbl>
    <w:p>
      <w:pPr>
        <w:jc w:val="both"/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134" w:right="851" w:bottom="1134" w:left="851" w:header="709" w:footer="709" w:gutter="0"/>
      <w:pgNumType w:start="5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50060065"/>
      <w:docPartObj>
        <w:docPartGallery w:val="Page Numbers (Bottom of Page)"/>
        <w:docPartUnique w:val="true"/>
      </w:docPartObj>
      <w:rPr/>
    </w:sdtPr>
    <w:sdtContent>
      <w:p>
        <w:pPr>
          <w:pStyle w:val="95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5"/>
      <w:spacing w:line="14" w:lineRule="auto"/>
      <w:rPr>
        <w:sz w:val="19"/>
      </w:rPr>
    </w:pPr>
    <w:r>
      <w:rPr>
        <w:sz w:val="19"/>
      </w:rPr>
    </w:r>
    <w:r>
      <w:rPr>
        <w:sz w:val="19"/>
      </w:rPr>
    </w:r>
    <w:r>
      <w:rPr>
        <w:sz w:val="19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2" w:hanging="497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122" w:hanging="286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05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62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6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5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7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9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71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3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5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7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9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312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06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8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ascii="Times New Roman" w:hAnsi="Times New Roman" w:eastAsia="Arial Unicode MS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  <w:tabs>
          <w:tab w:val="left" w:pos="7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left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left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left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left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left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left" w:pos="576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5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42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9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4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71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8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595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2" w:hanging="497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122" w:hanging="286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05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62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6" w:hanging="28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5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9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5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5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7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9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71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3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5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7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9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312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34"/>
  </w:num>
  <w:num w:numId="3">
    <w:abstractNumId w:val="31"/>
  </w:num>
  <w:num w:numId="4">
    <w:abstractNumId w:val="20"/>
  </w:num>
  <w:num w:numId="5">
    <w:abstractNumId w:val="29"/>
  </w:num>
  <w:num w:numId="6">
    <w:abstractNumId w:val="17"/>
  </w:num>
  <w:num w:numId="7">
    <w:abstractNumId w:val="1"/>
  </w:num>
  <w:num w:numId="8">
    <w:abstractNumId w:val="39"/>
  </w:num>
  <w:num w:numId="9">
    <w:abstractNumId w:val="19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4"/>
  </w:num>
  <w:num w:numId="24">
    <w:abstractNumId w:val="11"/>
  </w:num>
  <w:num w:numId="25">
    <w:abstractNumId w:val="32"/>
  </w:num>
  <w:num w:numId="26">
    <w:abstractNumId w:val="3"/>
  </w:num>
  <w:num w:numId="27">
    <w:abstractNumId w:val="23"/>
  </w:num>
  <w:num w:numId="28">
    <w:abstractNumId w:val="37"/>
  </w:num>
  <w:num w:numId="29">
    <w:abstractNumId w:val="5"/>
  </w:num>
  <w:num w:numId="30">
    <w:abstractNumId w:val="7"/>
  </w:num>
  <w:num w:numId="31">
    <w:abstractNumId w:val="8"/>
  </w:num>
  <w:num w:numId="32">
    <w:abstractNumId w:val="12"/>
  </w:num>
  <w:num w:numId="33">
    <w:abstractNumId w:val="0"/>
  </w:num>
  <w:num w:numId="34">
    <w:abstractNumId w:val="30"/>
  </w:num>
  <w:num w:numId="35">
    <w:abstractNumId w:val="16"/>
  </w:num>
  <w:num w:numId="36">
    <w:abstractNumId w:val="18"/>
  </w:num>
  <w:num w:numId="37">
    <w:abstractNumId w:val="15"/>
  </w:num>
  <w:num w:numId="38">
    <w:abstractNumId w:val="38"/>
  </w:num>
  <w:num w:numId="39">
    <w:abstractNumId w:val="2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9" w:default="1">
    <w:name w:val="Normal"/>
    <w:qFormat/>
  </w:style>
  <w:style w:type="paragraph" w:styleId="760">
    <w:name w:val="Heading 1"/>
    <w:basedOn w:val="759"/>
    <w:next w:val="759"/>
    <w:link w:val="7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1">
    <w:name w:val="Heading 2"/>
    <w:basedOn w:val="759"/>
    <w:next w:val="759"/>
    <w:link w:val="7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2">
    <w:name w:val="Heading 3"/>
    <w:basedOn w:val="759"/>
    <w:next w:val="759"/>
    <w:link w:val="7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3">
    <w:name w:val="Heading 4"/>
    <w:basedOn w:val="759"/>
    <w:next w:val="759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759"/>
    <w:next w:val="759"/>
    <w:link w:val="7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759"/>
    <w:next w:val="759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66">
    <w:name w:val="Heading 7"/>
    <w:basedOn w:val="759"/>
    <w:next w:val="759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67">
    <w:name w:val="Heading 8"/>
    <w:basedOn w:val="759"/>
    <w:next w:val="759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68">
    <w:name w:val="Heading 9"/>
    <w:basedOn w:val="759"/>
    <w:next w:val="759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character" w:styleId="772" w:customStyle="1">
    <w:name w:val="Heading 1 Char"/>
    <w:basedOn w:val="769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Heading 2 Char"/>
    <w:basedOn w:val="769"/>
    <w:uiPriority w:val="9"/>
    <w:rPr>
      <w:rFonts w:ascii="Arial" w:hAnsi="Arial" w:eastAsia="Arial" w:cs="Arial"/>
      <w:sz w:val="34"/>
    </w:rPr>
  </w:style>
  <w:style w:type="character" w:styleId="774" w:customStyle="1">
    <w:name w:val="Heading 3 Char"/>
    <w:basedOn w:val="769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Heading 4 Char"/>
    <w:basedOn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Heading 5 Char"/>
    <w:basedOn w:val="769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Heading 6 Char"/>
    <w:basedOn w:val="769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Heading 7 Char"/>
    <w:basedOn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Heading 8 Char"/>
    <w:basedOn w:val="769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Heading 9 Char"/>
    <w:basedOn w:val="769"/>
    <w:uiPriority w:val="9"/>
    <w:rPr>
      <w:rFonts w:ascii="Arial" w:hAnsi="Arial" w:eastAsia="Arial" w:cs="Arial"/>
      <w:i/>
      <w:iCs/>
      <w:sz w:val="21"/>
      <w:szCs w:val="21"/>
    </w:rPr>
  </w:style>
  <w:style w:type="character" w:styleId="781" w:customStyle="1">
    <w:name w:val="Title Char"/>
    <w:basedOn w:val="769"/>
    <w:uiPriority w:val="10"/>
    <w:rPr>
      <w:sz w:val="48"/>
      <w:szCs w:val="48"/>
    </w:rPr>
  </w:style>
  <w:style w:type="character" w:styleId="782" w:customStyle="1">
    <w:name w:val="Subtitle Char"/>
    <w:basedOn w:val="769"/>
    <w:uiPriority w:val="11"/>
    <w:rPr>
      <w:sz w:val="24"/>
      <w:szCs w:val="24"/>
    </w:rPr>
  </w:style>
  <w:style w:type="character" w:styleId="783" w:customStyle="1">
    <w:name w:val="Quote Char"/>
    <w:uiPriority w:val="29"/>
    <w:rPr>
      <w:i/>
    </w:rPr>
  </w:style>
  <w:style w:type="character" w:styleId="784" w:customStyle="1">
    <w:name w:val="Intense Quote Char"/>
    <w:uiPriority w:val="30"/>
    <w:rPr>
      <w:i/>
    </w:rPr>
  </w:style>
  <w:style w:type="character" w:styleId="785" w:customStyle="1">
    <w:name w:val="Footnote Text Char"/>
    <w:uiPriority w:val="99"/>
    <w:rPr>
      <w:sz w:val="18"/>
    </w:rPr>
  </w:style>
  <w:style w:type="character" w:styleId="786" w:customStyle="1">
    <w:name w:val="Endnote Text Char"/>
    <w:uiPriority w:val="99"/>
    <w:rPr>
      <w:sz w:val="20"/>
    </w:rPr>
  </w:style>
  <w:style w:type="character" w:styleId="787" w:customStyle="1">
    <w:name w:val="Заголовок 1 Знак"/>
    <w:basedOn w:val="769"/>
    <w:link w:val="760"/>
    <w:uiPriority w:val="9"/>
    <w:rPr>
      <w:rFonts w:ascii="Arial" w:hAnsi="Arial" w:eastAsia="Arial" w:cs="Arial"/>
      <w:sz w:val="40"/>
      <w:szCs w:val="40"/>
    </w:rPr>
  </w:style>
  <w:style w:type="character" w:styleId="788" w:customStyle="1">
    <w:name w:val="Заголовок 2 Знак"/>
    <w:basedOn w:val="769"/>
    <w:link w:val="761"/>
    <w:uiPriority w:val="9"/>
    <w:rPr>
      <w:rFonts w:ascii="Arial" w:hAnsi="Arial" w:eastAsia="Arial" w:cs="Arial"/>
      <w:sz w:val="34"/>
    </w:rPr>
  </w:style>
  <w:style w:type="character" w:styleId="789" w:customStyle="1">
    <w:name w:val="Заголовок 3 Знак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90" w:customStyle="1">
    <w:name w:val="Заголовок 4 Знак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91" w:customStyle="1">
    <w:name w:val="Заголовок 5 Знак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92" w:customStyle="1">
    <w:name w:val="Заголовок 6 Знак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93" w:customStyle="1">
    <w:name w:val="Заголовок 7 Знак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4" w:customStyle="1">
    <w:name w:val="Заголовок 8 Знак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95" w:customStyle="1">
    <w:name w:val="Заголовок 9 Знак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No Spacing"/>
    <w:uiPriority w:val="1"/>
    <w:qFormat/>
    <w:pPr>
      <w:spacing w:after="0" w:line="240" w:lineRule="auto"/>
    </w:pPr>
  </w:style>
  <w:style w:type="paragraph" w:styleId="797">
    <w:name w:val="Title"/>
    <w:basedOn w:val="759"/>
    <w:next w:val="759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 w:customStyle="1">
    <w:name w:val="Заголовок Знак"/>
    <w:basedOn w:val="769"/>
    <w:link w:val="797"/>
    <w:uiPriority w:val="10"/>
    <w:rPr>
      <w:sz w:val="48"/>
      <w:szCs w:val="48"/>
    </w:rPr>
  </w:style>
  <w:style w:type="paragraph" w:styleId="799">
    <w:name w:val="Subtitle"/>
    <w:basedOn w:val="759"/>
    <w:next w:val="759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 w:customStyle="1">
    <w:name w:val="Подзаголовок Знак"/>
    <w:basedOn w:val="769"/>
    <w:link w:val="799"/>
    <w:uiPriority w:val="11"/>
    <w:rPr>
      <w:sz w:val="24"/>
      <w:szCs w:val="24"/>
    </w:rPr>
  </w:style>
  <w:style w:type="paragraph" w:styleId="801">
    <w:name w:val="Quote"/>
    <w:basedOn w:val="759"/>
    <w:next w:val="759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59"/>
    <w:next w:val="759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character" w:styleId="805" w:customStyle="1">
    <w:name w:val="Header Char"/>
    <w:basedOn w:val="769"/>
    <w:uiPriority w:val="99"/>
  </w:style>
  <w:style w:type="character" w:styleId="806" w:customStyle="1">
    <w:name w:val="Footer Char"/>
    <w:basedOn w:val="769"/>
    <w:uiPriority w:val="99"/>
  </w:style>
  <w:style w:type="paragraph" w:styleId="807">
    <w:name w:val="Caption"/>
    <w:basedOn w:val="759"/>
    <w:next w:val="75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08" w:customStyle="1">
    <w:name w:val="Caption Char"/>
    <w:uiPriority w:val="99"/>
  </w:style>
  <w:style w:type="table" w:styleId="809">
    <w:name w:val="Table Grid"/>
    <w:basedOn w:val="7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0" w:customStyle="1">
    <w:name w:val="Table Grid Light"/>
    <w:basedOn w:val="7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1">
    <w:name w:val="Plain Table 1"/>
    <w:basedOn w:val="7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basedOn w:val="7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39" w:customStyle="1">
    <w:name w:val="Grid Table 4 - Accent 2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Grid Table 4 - Accent 3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1" w:customStyle="1">
    <w:name w:val="Grid Table 4 - Accent 4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Grid Table 4 - Accent 5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43" w:customStyle="1">
    <w:name w:val="Grid Table 4 - Accent 6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4">
    <w:name w:val="Grid Table 5 Dark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1">
    <w:name w:val="Grid Table 6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53" w:customStyle="1">
    <w:name w:val="Grid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4" w:customStyle="1">
    <w:name w:val="Grid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5" w:customStyle="1">
    <w:name w:val="Grid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6" w:customStyle="1">
    <w:name w:val="Grid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7" w:customStyle="1">
    <w:name w:val="Grid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8">
    <w:name w:val="Grid Table 7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>
    <w:name w:val="List Table 6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02" w:customStyle="1">
    <w:name w:val="List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3" w:customStyle="1">
    <w:name w:val="List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4" w:customStyle="1">
    <w:name w:val="List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5" w:customStyle="1">
    <w:name w:val="List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06" w:customStyle="1">
    <w:name w:val="List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7">
    <w:name w:val="List Table 7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16" w:customStyle="1">
    <w:name w:val="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7" w:customStyle="1">
    <w:name w:val="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8" w:customStyle="1">
    <w:name w:val="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9" w:customStyle="1">
    <w:name w:val="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20" w:customStyle="1">
    <w:name w:val="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1" w:customStyle="1">
    <w:name w:val="Bordered &amp; 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23" w:customStyle="1">
    <w:name w:val="Bordered &amp; 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4" w:customStyle="1">
    <w:name w:val="Bordered &amp; 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5" w:customStyle="1">
    <w:name w:val="Bordered &amp; 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6" w:customStyle="1">
    <w:name w:val="Bordered &amp; 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27" w:customStyle="1">
    <w:name w:val="Bordered &amp; 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8" w:customStyle="1">
    <w:name w:val="Bordered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30" w:customStyle="1">
    <w:name w:val="Bordered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1" w:customStyle="1">
    <w:name w:val="Bordered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2" w:customStyle="1">
    <w:name w:val="Bordered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3" w:customStyle="1">
    <w:name w:val="Bordered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34" w:customStyle="1">
    <w:name w:val="Bordered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35">
    <w:name w:val="Hyperlink"/>
    <w:uiPriority w:val="99"/>
    <w:unhideWhenUsed/>
    <w:rPr>
      <w:color w:val="0563c1" w:themeColor="hyperlink"/>
      <w:u w:val="single"/>
    </w:rPr>
  </w:style>
  <w:style w:type="paragraph" w:styleId="936">
    <w:name w:val="footnote text"/>
    <w:basedOn w:val="759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 w:customStyle="1">
    <w:name w:val="Текст сноски Знак"/>
    <w:link w:val="936"/>
    <w:uiPriority w:val="99"/>
    <w:rPr>
      <w:sz w:val="18"/>
    </w:rPr>
  </w:style>
  <w:style w:type="character" w:styleId="938">
    <w:name w:val="footnote reference"/>
    <w:basedOn w:val="769"/>
    <w:uiPriority w:val="99"/>
    <w:unhideWhenUsed/>
    <w:rPr>
      <w:vertAlign w:val="superscript"/>
    </w:rPr>
  </w:style>
  <w:style w:type="paragraph" w:styleId="939">
    <w:name w:val="endnote text"/>
    <w:basedOn w:val="759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rPr>
      <w:sz w:val="20"/>
    </w:rPr>
  </w:style>
  <w:style w:type="character" w:styleId="941">
    <w:name w:val="endnote reference"/>
    <w:basedOn w:val="769"/>
    <w:uiPriority w:val="99"/>
    <w:semiHidden/>
    <w:unhideWhenUsed/>
    <w:rPr>
      <w:vertAlign w:val="superscript"/>
    </w:rPr>
  </w:style>
  <w:style w:type="paragraph" w:styleId="942">
    <w:name w:val="toc 1"/>
    <w:basedOn w:val="759"/>
    <w:next w:val="759"/>
    <w:uiPriority w:val="39"/>
    <w:unhideWhenUsed/>
    <w:pPr>
      <w:spacing w:after="57"/>
    </w:pPr>
  </w:style>
  <w:style w:type="paragraph" w:styleId="943">
    <w:name w:val="toc 2"/>
    <w:basedOn w:val="759"/>
    <w:next w:val="759"/>
    <w:uiPriority w:val="39"/>
    <w:unhideWhenUsed/>
    <w:pPr>
      <w:ind w:left="283"/>
      <w:spacing w:after="57"/>
    </w:pPr>
  </w:style>
  <w:style w:type="paragraph" w:styleId="944">
    <w:name w:val="toc 3"/>
    <w:basedOn w:val="759"/>
    <w:next w:val="759"/>
    <w:uiPriority w:val="39"/>
    <w:unhideWhenUsed/>
    <w:pPr>
      <w:ind w:left="567"/>
      <w:spacing w:after="57"/>
    </w:pPr>
  </w:style>
  <w:style w:type="paragraph" w:styleId="945">
    <w:name w:val="toc 4"/>
    <w:basedOn w:val="759"/>
    <w:next w:val="759"/>
    <w:uiPriority w:val="39"/>
    <w:unhideWhenUsed/>
    <w:pPr>
      <w:ind w:left="850"/>
      <w:spacing w:after="57"/>
    </w:pPr>
  </w:style>
  <w:style w:type="paragraph" w:styleId="946">
    <w:name w:val="toc 5"/>
    <w:basedOn w:val="759"/>
    <w:next w:val="759"/>
    <w:uiPriority w:val="39"/>
    <w:unhideWhenUsed/>
    <w:pPr>
      <w:ind w:left="1134"/>
      <w:spacing w:after="57"/>
    </w:pPr>
  </w:style>
  <w:style w:type="paragraph" w:styleId="947">
    <w:name w:val="toc 6"/>
    <w:basedOn w:val="759"/>
    <w:next w:val="759"/>
    <w:uiPriority w:val="39"/>
    <w:unhideWhenUsed/>
    <w:pPr>
      <w:ind w:left="1417"/>
      <w:spacing w:after="57"/>
    </w:pPr>
  </w:style>
  <w:style w:type="paragraph" w:styleId="948">
    <w:name w:val="toc 7"/>
    <w:basedOn w:val="759"/>
    <w:next w:val="759"/>
    <w:uiPriority w:val="39"/>
    <w:unhideWhenUsed/>
    <w:pPr>
      <w:ind w:left="1701"/>
      <w:spacing w:after="57"/>
    </w:pPr>
  </w:style>
  <w:style w:type="paragraph" w:styleId="949">
    <w:name w:val="toc 8"/>
    <w:basedOn w:val="759"/>
    <w:next w:val="759"/>
    <w:uiPriority w:val="39"/>
    <w:unhideWhenUsed/>
    <w:pPr>
      <w:ind w:left="1984"/>
      <w:spacing w:after="57"/>
    </w:pPr>
  </w:style>
  <w:style w:type="paragraph" w:styleId="950">
    <w:name w:val="toc 9"/>
    <w:basedOn w:val="759"/>
    <w:next w:val="759"/>
    <w:uiPriority w:val="39"/>
    <w:unhideWhenUsed/>
    <w:pPr>
      <w:ind w:left="2268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759"/>
    <w:next w:val="759"/>
    <w:uiPriority w:val="99"/>
    <w:unhideWhenUsed/>
    <w:pPr>
      <w:spacing w:after="0"/>
    </w:pPr>
  </w:style>
  <w:style w:type="paragraph" w:styleId="953">
    <w:name w:val="Footer"/>
    <w:basedOn w:val="759"/>
    <w:link w:val="9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4" w:customStyle="1">
    <w:name w:val="Нижний колонтитул Знак"/>
    <w:basedOn w:val="769"/>
    <w:link w:val="953"/>
    <w:uiPriority w:val="99"/>
  </w:style>
  <w:style w:type="paragraph" w:styleId="955">
    <w:name w:val="Body Text"/>
    <w:basedOn w:val="759"/>
    <w:link w:val="956"/>
    <w:uiPriority w:val="99"/>
    <w:unhideWhenUsed/>
    <w:pPr>
      <w:spacing w:after="120"/>
    </w:pPr>
  </w:style>
  <w:style w:type="character" w:styleId="956" w:customStyle="1">
    <w:name w:val="Основной текст Знак"/>
    <w:basedOn w:val="769"/>
    <w:link w:val="955"/>
    <w:uiPriority w:val="99"/>
  </w:style>
  <w:style w:type="paragraph" w:styleId="957">
    <w:name w:val="Header"/>
    <w:basedOn w:val="759"/>
    <w:link w:val="9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8" w:customStyle="1">
    <w:name w:val="Верхний колонтитул Знак"/>
    <w:basedOn w:val="769"/>
    <w:link w:val="957"/>
    <w:uiPriority w:val="99"/>
  </w:style>
  <w:style w:type="paragraph" w:styleId="959">
    <w:name w:val="List Paragraph"/>
    <w:basedOn w:val="759"/>
    <w:link w:val="964"/>
    <w:uiPriority w:val="34"/>
    <w:qFormat/>
    <w:pPr>
      <w:contextualSpacing/>
      <w:ind w:left="720"/>
    </w:pPr>
  </w:style>
  <w:style w:type="paragraph" w:styleId="960" w:customStyle="1">
    <w:name w:val="docdata"/>
    <w:basedOn w:val="7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961">
    <w:name w:val="Normal (Web)"/>
    <w:basedOn w:val="75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962">
    <w:name w:val="Body Text 2"/>
    <w:basedOn w:val="759"/>
    <w:link w:val="963"/>
    <w:semiHidden/>
    <w:unhideWhenUsed/>
    <w:pPr>
      <w:spacing w:after="120" w:line="480" w:lineRule="auto"/>
    </w:pPr>
    <w:rPr>
      <w:rFonts w:ascii="Calibri" w:hAnsi="Calibri" w:eastAsia="Times New Roman" w:cs="Times New Roman"/>
      <w:color w:val="000000"/>
      <w:szCs w:val="20"/>
      <w:lang w:eastAsia="ru-RU"/>
      <w14:ligatures w14:val="none"/>
    </w:rPr>
  </w:style>
  <w:style w:type="character" w:styleId="963" w:customStyle="1">
    <w:name w:val="Основной текст 2 Знак"/>
    <w:basedOn w:val="769"/>
    <w:link w:val="962"/>
    <w:semiHidden/>
    <w:rPr>
      <w:rFonts w:ascii="Calibri" w:hAnsi="Calibri" w:eastAsia="Times New Roman" w:cs="Times New Roman"/>
      <w:color w:val="000000"/>
      <w:szCs w:val="20"/>
      <w:lang w:eastAsia="ru-RU"/>
      <w14:ligatures w14:val="none"/>
    </w:rPr>
  </w:style>
  <w:style w:type="character" w:styleId="964" w:customStyle="1">
    <w:name w:val="Абзац списка Знак"/>
    <w:basedOn w:val="769"/>
    <w:link w:val="959"/>
  </w:style>
  <w:style w:type="paragraph" w:styleId="965" w:customStyle="1">
    <w:name w:val="Style5"/>
    <w:basedOn w:val="759"/>
    <w:pPr>
      <w:ind w:firstLine="713"/>
      <w:jc w:val="both"/>
      <w:spacing w:after="0" w:line="328" w:lineRule="exact"/>
      <w:widowControl w:val="off"/>
    </w:pPr>
    <w:rPr>
      <w:rFonts w:ascii="Times New Roman" w:hAnsi="Times New Roman" w:eastAsia="Times New Roman" w:cs="Times New Roman"/>
      <w:color w:val="000000"/>
      <w:sz w:val="24"/>
      <w:szCs w:val="20"/>
      <w:lang w:eastAsia="ru-RU"/>
      <w14:ligatures w14:val="none"/>
    </w:rPr>
  </w:style>
  <w:style w:type="paragraph" w:styleId="966" w:customStyle="1">
    <w:name w:val="Основной текст (5)"/>
    <w:basedOn w:val="759"/>
    <w:pPr>
      <w:spacing w:after="0" w:line="240" w:lineRule="atLeast"/>
    </w:pPr>
    <w:rPr>
      <w:rFonts w:ascii="Times New Roman" w:hAnsi="Times New Roman" w:eastAsia="Times New Roman" w:cs="Times New Roman"/>
      <w:color w:val="000000"/>
      <w:sz w:val="20"/>
      <w:szCs w:val="20"/>
      <w:lang w:eastAsia="ru-RU"/>
      <w14:ligatures w14:val="none"/>
    </w:rPr>
  </w:style>
  <w:style w:type="character" w:styleId="967">
    <w:name w:val="Unresolved Mention"/>
    <w:basedOn w:val="76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mlcjournal.ru/rules-for-authors-mlc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V</dc:creator>
  <cp:keywords/>
  <dc:description/>
  <cp:revision>27</cp:revision>
  <dcterms:created xsi:type="dcterms:W3CDTF">2023-11-16T08:35:00Z</dcterms:created>
  <dcterms:modified xsi:type="dcterms:W3CDTF">2025-03-03T10:29:04Z</dcterms:modified>
</cp:coreProperties>
</file>