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29"/>
      </w:tblGrid>
      <w:tr>
        <w:tblPrEx/>
        <w:trPr>
          <w:trHeight w:val="660"/>
        </w:trPr>
        <w:tc>
          <w:tcPr>
            <w:tcW w:w="9529" w:type="dxa"/>
            <w:textDirection w:val="lrTb"/>
            <w:noWrap w:val="false"/>
          </w:tcPr>
          <w:p>
            <w:pPr>
              <w:ind w:right="567"/>
              <w:jc w:val="center"/>
              <w:spacing w:after="0" w:line="240" w:lineRule="auto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Автономная некоммерческая организация 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/>
              <w:jc w:val="center"/>
              <w:spacing w:after="0" w:line="240" w:lineRule="auto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b/>
                <w:spacing w:val="30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14:ligatures w14:val="none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rFonts w:ascii="Times New Roman" w:hAnsi="Times New Roman" w:eastAsia="Times New Roman" w:cs="Times New Roman"/>
                <w:b/>
                <w:spacing w:val="30"/>
                <w:sz w:val="28"/>
                <w14:ligatures w14:val="none"/>
              </w:rPr>
            </w:r>
          </w:p>
        </w:tc>
      </w:tr>
    </w:tbl>
    <w:p>
      <w:pPr>
        <w:ind w:right="567"/>
        <w:jc w:val="right"/>
        <w:spacing w:after="0" w:line="240" w:lineRule="auto"/>
        <w:widowControl w:val="off"/>
        <w:tabs>
          <w:tab w:val="left" w:pos="4075" w:leader="none"/>
        </w:tabs>
        <w:rPr>
          <w:rFonts w:ascii="Times New Roman" w:hAnsi="Times New Roman" w:eastAsia="Times New Roman" w:cs="Times New Roman"/>
          <w:b/>
          <w:caps/>
          <w:sz w:val="28"/>
          <w14:ligatures w14:val="none"/>
        </w:rPr>
      </w:pPr>
      <w:r/>
      <w:bookmarkStart w:id="0" w:name="_Hlk24113178"/>
      <w:r/>
      <w:r>
        <w:rPr>
          <w:rFonts w:ascii="Times New Roman" w:hAnsi="Times New Roman" w:eastAsia="Times New Roman" w:cs="Times New Roman"/>
          <w:b/>
          <w:caps/>
          <w:sz w:val="28"/>
          <w14:ligatures w14:val="none"/>
        </w:rPr>
      </w:r>
    </w:p>
    <w:p>
      <w:pPr>
        <w:ind w:right="567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r>
    </w:p>
    <w:p>
      <w:pPr>
        <w:ind w:right="567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  <w:t xml:space="preserve">Программа кандидатского экзамена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ind w:right="567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  <w:t xml:space="preserve">по специальной дисциплине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ind w:right="567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  <w:t xml:space="preserve">в соответствии с темой диссертации на соискание ученой степени кандидата наук </w:t>
      </w: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r>
    </w:p>
    <w:p>
      <w:pPr>
        <w:ind w:right="567"/>
        <w:jc w:val="center"/>
        <w:spacing w:after="0" w:line="240" w:lineRule="auto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/>
          <w:sz w:val="28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14:ligatures w14:val="none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>
          <w:trHeight w:val="853"/>
        </w:trPr>
        <w:tc>
          <w:tcPr>
            <w:tcW w:w="3369" w:type="dxa"/>
            <w:vAlign w:val="center"/>
            <w:textDirection w:val="lrTb"/>
            <w:noWrap w:val="false"/>
          </w:tcPr>
          <w:p>
            <w:pPr>
              <w:ind w:right="567"/>
              <w:spacing w:after="0" w:line="276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Научная специальность </w:t>
            </w:r>
            <w:r>
              <w:rPr>
                <w:rFonts w:ascii="Times New Roman" w:hAnsi="Times New Roman" w:eastAsia="Times New Roman" w:cs="Times New Roman"/>
                <w:b/>
                <w:sz w:val="28"/>
                <w14:ligatures w14:val="none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ind w:right="567"/>
              <w:spacing w:after="0" w:line="252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5.1.2. Публично-правовые (государственно-правовые) науки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5.1.3. Частно-правовые (цивилистические) науки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i/>
                <w:color w:val="e36c0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5.1.5. Международно-правовые науки</w:t>
            </w:r>
            <w:r>
              <w:rPr>
                <w:rFonts w:ascii="Times New Roman" w:hAnsi="Times New Roman" w:eastAsia="Times New Roman" w:cs="Times New Roman"/>
                <w:i/>
                <w:color w:val="e36c0a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textDirection w:val="lrTb"/>
            <w:noWrap w:val="false"/>
          </w:tcPr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Уровень высшего образования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Форма обучения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Подготовка кадров высшей квалификации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Очная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</w:tc>
      </w:tr>
    </w:tbl>
    <w:p>
      <w:pPr>
        <w:ind w:right="567"/>
        <w:spacing w:after="0" w:line="240" w:lineRule="auto"/>
        <w:widowControl w:val="off"/>
        <w:rPr>
          <w:rFonts w:ascii="Times New Roman" w:hAnsi="Times New Roman" w:eastAsia="Times New Roman" w:cs="Times New Roman"/>
          <w:sz w:val="16"/>
          <w14:ligatures w14:val="none"/>
        </w:rPr>
      </w:pPr>
      <w:r>
        <w:rPr>
          <w:rFonts w:ascii="Times New Roman" w:hAnsi="Times New Roman" w:eastAsia="Times New Roman" w:cs="Times New Roman"/>
          <w:sz w:val="16"/>
          <w14:ligatures w14:val="none"/>
        </w:rPr>
      </w:r>
      <w:r>
        <w:rPr>
          <w:rFonts w:ascii="Times New Roman" w:hAnsi="Times New Roman" w:eastAsia="Times New Roman" w:cs="Times New Roman"/>
          <w:sz w:val="16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16"/>
          <w14:ligatures w14:val="none"/>
        </w:rPr>
      </w:pPr>
      <w:r>
        <w:rPr>
          <w:rFonts w:ascii="Times New Roman" w:hAnsi="Times New Roman" w:eastAsia="Times New Roman" w:cs="Times New Roman"/>
          <w:sz w:val="16"/>
          <w14:ligatures w14:val="none"/>
        </w:rPr>
      </w:r>
      <w:r>
        <w:rPr>
          <w:rFonts w:ascii="Times New Roman" w:hAnsi="Times New Roman" w:eastAsia="Times New Roman" w:cs="Times New Roman"/>
          <w:sz w:val="16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16"/>
          <w14:ligatures w14:val="none"/>
        </w:rPr>
      </w:pPr>
      <w:r>
        <w:rPr>
          <w:rFonts w:ascii="Times New Roman" w:hAnsi="Times New Roman" w:eastAsia="Times New Roman" w:cs="Times New Roman"/>
          <w:sz w:val="16"/>
          <w14:ligatures w14:val="none"/>
        </w:rPr>
      </w:r>
      <w:r>
        <w:rPr>
          <w:rFonts w:ascii="Times New Roman" w:hAnsi="Times New Roman" w:eastAsia="Times New Roman" w:cs="Times New Roman"/>
          <w:sz w:val="16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right="567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  <w:t xml:space="preserve">2025 г.</w:t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ind w:right="567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ind w:right="567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ind w:right="567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ind w:right="567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ind w:right="567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ind w:right="567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ind w:right="567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ind w:right="567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ind w:right="567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  <w:t xml:space="preserve">© Романова В.В., 2025 год.</w:t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  <w:t xml:space="preserve">© АНО «Научно-исследовательский</w:t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  <w:t xml:space="preserve"> «Центр развития энергетического права и </w:t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  <w:t xml:space="preserve">современной правовой науки </w:t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  <w:t xml:space="preserve">имени В.А. Мусина», методическое оформление, 2025.</w:t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spacing w:after="0" w:line="240" w:lineRule="auto"/>
        <w:widowControl w:val="off"/>
        <w:rPr>
          <w:rFonts w:ascii="Times New Roman" w:hAnsi="Times New Roman" w:eastAsia="Times New Roman" w:cs="Times New Roman"/>
          <w:sz w:val="16"/>
          <w14:ligatures w14:val="none"/>
        </w:rPr>
      </w:pPr>
      <w:r>
        <w:rPr>
          <w:rFonts w:ascii="Times New Roman" w:hAnsi="Times New Roman" w:eastAsia="Times New Roman" w:cs="Times New Roman"/>
          <w:sz w:val="16"/>
          <w14:ligatures w14:val="none"/>
        </w:rPr>
      </w:r>
      <w:r>
        <w:rPr>
          <w:rFonts w:ascii="Times New Roman" w:hAnsi="Times New Roman" w:eastAsia="Times New Roman" w:cs="Times New Roman"/>
          <w:sz w:val="16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bookmarkEnd w:id="0"/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numPr>
          <w:ilvl w:val="0"/>
          <w:numId w:val="2"/>
        </w:numPr>
        <w:jc w:val="center"/>
        <w:spacing w:before="74" w:after="0" w:line="240" w:lineRule="auto"/>
        <w:widowControl w:val="off"/>
        <w:tabs>
          <w:tab w:val="left" w:pos="1290" w:leader="none"/>
        </w:tabs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  <w:t xml:space="preserve">ОБЩИЕ</w:t>
      </w:r>
      <w:r>
        <w:rPr>
          <w:rFonts w:ascii="Times New Roman" w:hAnsi="Times New Roman" w:eastAsia="Times New Roman" w:cs="Times New Roman"/>
          <w:b/>
          <w:spacing w:val="-7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  <w:t xml:space="preserve">ПОЛОЖЕНИЯ</w:t>
      </w: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numPr>
          <w:ilvl w:val="1"/>
          <w:numId w:val="1"/>
        </w:numPr>
        <w:ind w:left="0" w:right="3" w:firstLine="850"/>
        <w:jc w:val="both"/>
        <w:spacing w:after="0" w:line="237" w:lineRule="auto"/>
        <w:widowControl w:val="off"/>
        <w:tabs>
          <w:tab w:val="left" w:pos="2233" w:leader="none"/>
        </w:tabs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Программа кандидатского экзамена по специальной дисциплине в соответствии с темой диссертации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(далее – Программа кандидатского экзамена, специальная дисциплина) разработана в соответствии</w:t>
      </w:r>
      <w:r>
        <w:rPr>
          <w:rFonts w:ascii="Times New Roman" w:hAnsi="Times New Roman" w:eastAsia="Times New Roman" w:cs="Times New Roman"/>
          <w:spacing w:val="8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с: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Style w:val="957"/>
        <w:numPr>
          <w:ilvl w:val="0"/>
          <w:numId w:val="28"/>
        </w:numPr>
        <w:ind w:left="0" w:right="3" w:firstLine="85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 Федеральным законом от 29 декабря 2012 г. № 273-ФЗ «Об образовании в Российской Федерации»;</w:t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957"/>
        <w:numPr>
          <w:ilvl w:val="0"/>
          <w:numId w:val="28"/>
        </w:numPr>
        <w:ind w:left="0" w:right="3" w:firstLine="85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24 сентября 2013 г.№ 842 «О порядке присуждения ученых степеней»;</w:t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957"/>
        <w:numPr>
          <w:ilvl w:val="0"/>
          <w:numId w:val="28"/>
        </w:numPr>
        <w:ind w:left="0" w:right="3" w:firstLine="85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30 ноября 2021 г. № 2122 «Об утверждении</w:t>
      </w:r>
      <w:r>
        <w:rPr>
          <w:rFonts w:ascii="Times New Roman" w:hAnsi="Times New Roman"/>
          <w:sz w:val="28"/>
        </w:rPr>
        <w:t xml:space="preserve"> Положения о подготовке научных и научно-педагогических кадров в аспирантуре (адъюнктуре)»; </w:t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957"/>
        <w:numPr>
          <w:ilvl w:val="0"/>
          <w:numId w:val="24"/>
        </w:numPr>
        <w:ind w:left="0" w:right="3" w:firstLine="85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</w:rPr>
        <w:t xml:space="preserve">Приказом Минобрнауки России от 20 октября 2021 г. № 951 «Об утверждении федеральных государственных требований к структуре программ подготовки научных и научно-педагогических кадров в аспирантуре (</w:t>
      </w:r>
      <w:r>
        <w:rPr>
          <w:rFonts w:ascii="Times New Roman" w:hAnsi="Times New Roman"/>
          <w:sz w:val="28"/>
          <w:szCs w:val="28"/>
        </w:rPr>
        <w:t xml:space="preserve">адъюнктуре</w:t>
      </w:r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(адъюнктов);</w:t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957"/>
        <w:numPr>
          <w:ilvl w:val="0"/>
          <w:numId w:val="24"/>
        </w:numPr>
        <w:ind w:left="0" w:right="3" w:firstLine="85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Приказом </w:t>
      </w:r>
      <w:r>
        <w:rPr>
          <w:rFonts w:ascii="Times New Roman" w:hAnsi="Times New Roman"/>
          <w:sz w:val="28"/>
        </w:rPr>
        <w:t xml:space="preserve">Минобрнауки России </w:t>
      </w:r>
      <w:r>
        <w:rPr>
          <w:rFonts w:ascii="Times New Roman" w:hAnsi="Times New Roman"/>
          <w:sz w:val="28"/>
          <w:szCs w:val="28"/>
        </w:rPr>
        <w:t xml:space="preserve">от 24 февраля 2021 г. № 118 «Об утверждении номенклатуры научных специальностей, по которым присуждаются ученые степени;</w:t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957"/>
        <w:numPr>
          <w:ilvl w:val="0"/>
          <w:numId w:val="24"/>
        </w:numPr>
        <w:ind w:left="0" w:right="3" w:firstLine="85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Уставом и соо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тветствующими локальными нормативными актами Автономной некоммерческой организации «Научно-исследовательский «Центр развития энергетического права и современной правовой науки имени В.А.Мусина» (далее - Центр).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right="3" w:firstLine="850"/>
        <w:jc w:val="both"/>
        <w:spacing w:before="3"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1.2. Программа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кандидатского экзамена регламентирует содержание, порядок сдачи кандидатского экзамена, состав экзаменационной комиссии, порядок оценки уровня знаний соискателя ученой степени кандидата наук и включает перечень вопросов, выносимых на кандидатский экзамен.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right="3" w:firstLine="850"/>
        <w:jc w:val="both"/>
        <w:spacing w:before="3"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1.3. Ка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ндидатский экзамен по специальной дисциплине представляет собой форму оценки степени подготовленности аспиранта к проведению научных исследований по конкретной научной специальности и отрасли науки, по которой подготавливается или подготовлена диссертация.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right="3" w:firstLine="850"/>
        <w:jc w:val="both"/>
        <w:spacing w:before="3"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yellow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1.4. На кандидатском экзамене по специальной дисциплине в соответствии с темой диссертации аспирант должен представить письменный ответ по форме, установленной настоящей программой и отвечающий критериям оценки, указанными в пункте 3 настоящей программы. </w:t>
      </w:r>
      <w:r>
        <w:rPr>
          <w:rFonts w:ascii="Times New Roman" w:hAnsi="Times New Roman" w:cs="Times New Roman"/>
          <w:sz w:val="28"/>
          <w:szCs w:val="28"/>
          <w:highlight w:val="yellow"/>
          <w14:ligatures w14:val="none"/>
        </w:rPr>
      </w:r>
    </w:p>
    <w:p>
      <w:pPr>
        <w:ind w:right="3" w:firstLine="850"/>
        <w:jc w:val="both"/>
        <w:spacing w:after="0" w:line="240" w:lineRule="auto"/>
        <w:widowControl w:val="off"/>
        <w:tabs>
          <w:tab w:val="center" w:pos="4677" w:leader="none"/>
          <w:tab w:val="right" w:pos="9355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1.5. Для приема</w:t>
      </w:r>
      <w:r>
        <w:rPr>
          <w:rFonts w:ascii="Times New Roman" w:hAnsi="Times New Roman" w:cs="Times New Roman"/>
          <w:sz w:val="28"/>
          <w:szCs w:val="28"/>
        </w:rPr>
        <w:t xml:space="preserve"> кандидатского экзамена создается экзаменационная комиссия по приему кандидатских экзаменов, состав которой утверждается приказом директора АНО «Научно-исследовательский «Центр развития энергетического права и современной правовой науки имени В.А. Мусина».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right="3" w:firstLine="850"/>
        <w:jc w:val="both"/>
        <w:spacing w:after="0" w:line="240" w:lineRule="auto"/>
        <w:widowControl w:val="off"/>
        <w:tabs>
          <w:tab w:val="center" w:pos="4677" w:leader="none"/>
          <w:tab w:val="right" w:pos="9355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1.6. Экзаменационная комиссия по приему кандидатского экзамена по специальной дисциплине формируется из числа научно-педагогических работников Центра в составе в не более 5 человек.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right="3" w:firstLine="850"/>
        <w:jc w:val="both"/>
        <w:spacing w:after="0" w:line="240" w:lineRule="auto"/>
        <w:widowControl w:val="off"/>
        <w:tabs>
          <w:tab w:val="center" w:pos="4677" w:leader="none"/>
          <w:tab w:val="right" w:pos="9355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1.7 В состав экзаменационной комиссии входит председатель комиссии,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пред</w:t>
      </w:r>
      <w:r>
        <w:rPr>
          <w:rFonts w:ascii="Times New Roman" w:hAnsi="Times New Roman" w:cs="Times New Roman"/>
          <w:sz w:val="28"/>
          <w:szCs w:val="28"/>
        </w:rPr>
        <w:t xml:space="preserve">седателя комиссии, а также не менее 3 специалистов, имеющих ученую степень доктора наук по научной специальности, соответствующей специальной дисциплине. В состав экзаменационной комиссии могут включаться научно-педагогические работники других организаций.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right="3" w:firstLine="850"/>
        <w:jc w:val="both"/>
        <w:spacing w:after="0" w:line="240" w:lineRule="auto"/>
        <w:widowControl w:val="off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1.8.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экзаменационной комиссии оформляется протоколом, в котором указываются шифр и 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именование научной специальности по которой сдан кандидатский экзамен; оценка уровня знаний по кандидатскому экзамену; фамилия, имя, отчество (последнее - при наличии), ученая степень.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spacing w:before="1"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jc w:val="center"/>
        <w:spacing w:after="0" w:line="275" w:lineRule="exact"/>
        <w:widowControl w:val="off"/>
        <w:tabs>
          <w:tab w:val="left" w:pos="2055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outlineLvl w:val="3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t xml:space="preserve">2.ПОРЯДОК СДАЧИ ЭКЗАМЕНА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jc w:val="center"/>
        <w:spacing w:after="0" w:line="275" w:lineRule="exact"/>
        <w:widowControl w:val="off"/>
        <w:tabs>
          <w:tab w:val="left" w:pos="2055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outlineLvl w:val="3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    2.1. Экзамен по специальной дисциплине по научным специальностям: 5.1.2. Публично-правовые (государственно-правовые) науки; 5.1.3. Частно-правовые (цивилистические) науки; 5.1.5. Международно-правовые науки проводится письменно.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Для проведения экзамена формируются билеты с вопросами (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№1)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в соответствии с темой диссертации. Билеты направляются аспиранту индивидуально п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о электронной почте в срок не менее, чем за четыре  недели до срока сдачи экзамена. Аспирант готовит экзаменационную работу с ответом на 1 (один) из представленных в билете вопросов. Выбор вопроса, на который будет подготовлен ответ, принадлежит аспиранту.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В срок до 11 апреля 2025 г. (включительно) выполненная работа, с указанием номера и названия выбранного вопроса, направляется на электронный адрес Центра и в копии на электронный адрес научного руководителя аспиранта.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Минимальный объем ответа на вопрос: 20 страниц форм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ата А4, шрифт 14, полтора интервала. Максимальный 25 страниц формата А4, шрифт 14, полтора интервала. Оформление ответа должно соответствовать требованиям к оформлению научной публикации. Ответ сопровождается отчетом о проверке статьи в системе Антиплагиат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роцент оригинальности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материала должен составлять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не менее 80%</w:t>
      </w:r>
      <w:r>
        <w:rPr>
          <w:rFonts w:ascii="Arial" w:hAnsi="Arial" w:eastAsia="Arial" w:cs="Arial"/>
          <w:color w:val="000000"/>
          <w:sz w:val="21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Пример оформления: </w:t>
      </w:r>
      <w:hyperlink r:id="rId10" w:tooltip="https://mlcjournal.ru/rules-for-authors-mlc.html" w:history="1">
        <w:r>
          <w:rPr>
            <w:rStyle w:val="933"/>
            <w:rFonts w:ascii="Times New Roman" w:hAnsi="Times New Roman" w:eastAsia="Times New Roman" w:cs="Times New Roman"/>
            <w:sz w:val="28"/>
            <w:szCs w:val="28"/>
            <w14:ligatures w14:val="none"/>
          </w:rPr>
          <w:t xml:space="preserve">https://mlcjournal.ru/rules-for-authors-mlc.html</w:t>
        </w:r>
      </w:hyperlink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2.2. В случае не представления экзаменационных ответов  в срок до 11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апреля  2025 г. (включительно)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по уважительной причине, подтвержденной документально, дата проведения экзамена переносится на 18 апреля 2025 года.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Уважительными причинами неявки аспиранта на кандидатский экзамен являются: болезнь аспиранта; необходимость ухода за родственником либо смерть ближайшего родственника; авария; катаклизм и чрезвычайная ситуация; ожидание авари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йных или спасательных служб; нахождение под арестом; присутствие на следственных действиях по повестке; участие в судебном заседании; работа в избирательной компании; выполнение государственных обязанностей по работе или в рамках волонтерской деятельности.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   Указанные обстоятельства должны быть подтверждены документами, оформленными в установленном порядке.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2.3. Ведомости с оценками экзаменационной комиссии размещаются в личном кабинете обучающегося не позднее 28 апреля 2025 г.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contextualSpacing/>
        <w:ind w:left="360"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contextualSpacing/>
        <w:ind w:left="360"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outlineLvl w:val="0"/>
      </w:pP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  <w:t xml:space="preserve">3.ШКАЛА ОЦЕНИВАНИЯ ЭКЗАМЕНА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contextualSpacing/>
        <w:ind w:left="360"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  <w:outlineLvl w:val="0"/>
      </w:pP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r>
    </w:p>
    <w:tbl>
      <w:tblPr>
        <w:tblW w:w="97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154"/>
        <w:gridCol w:w="6638"/>
      </w:tblGrid>
      <w:tr>
        <w:tblPrEx/>
        <w:trPr>
          <w:jc w:val="center"/>
          <w:trHeight w:val="4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14:ligatures w14:val="none"/>
              </w:rPr>
              <w:t xml:space="preserve">Оценка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14:ligatures w14:val="none"/>
              </w:rPr>
              <w:t xml:space="preserve">Содержание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14:ligatures w14:val="none"/>
              </w:rPr>
            </w:r>
          </w:p>
        </w:tc>
      </w:tr>
      <w:tr>
        <w:tblPrEx/>
        <w:trPr>
          <w:jc w:val="center"/>
          <w:trHeight w:val="43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     «5»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  <w:t xml:space="preserve">(отлично)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639" w:type="dxa"/>
            <w:textDirection w:val="lrTb"/>
            <w:noWrap w:val="false"/>
          </w:tcPr>
          <w:p>
            <w:pPr>
              <w:pStyle w:val="95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Требования  к объему и  к оформлению  (в том числе в части аннотации)  соблюдены в полном объеме 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5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Актуальность обоснована в полном объеме.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5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Постановка научной или научно-практической проблемы обоснована.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5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Степень изученности проблемы в работах российских и зарубежных авторов освещена в полом объеме.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5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Количество использованных источников достаточное.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5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Выводы, предложения, рекомендации обоснованы.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43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«4» (хорошо)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9" w:type="dxa"/>
            <w:textDirection w:val="lrTb"/>
            <w:noWrap w:val="false"/>
          </w:tcPr>
          <w:p>
            <w:pPr>
              <w:pStyle w:val="95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Требования  к объему (в том числе в части аннотации)  соблюдены в полном объеме. Имеются отдельные недостатки в оформлении.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5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Актуальность обоснована в полном объеме.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5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Постановка научной или научно-практической проблемы обоснована.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5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Степень изученности проблемы в работах российских и зарубежных авторов освещена в полом объеме.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5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Количество использованных источников достаточное.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59"/>
              <w:numPr>
                <w:ilvl w:val="0"/>
                <w:numId w:val="39"/>
              </w:numPr>
              <w:spacing w:before="0" w:beforeAutospacing="0" w:after="0" w:afterAutospacing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Выводы, предложения, рекомендации требуют уточнений формулировок.</w:t>
            </w:r>
            <w:r>
              <w:rPr>
                <w:rFonts w:eastAsia="Arial Unicode MS"/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  <w:trHeight w:val="46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«3»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(удовлетворительно)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57"/>
              <w:numPr>
                <w:ilvl w:val="0"/>
                <w:numId w:val="38"/>
              </w:numPr>
              <w:jc w:val="both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Требования  к объему (в том числе в части аннотации)  соблюдены в полном объеме. Имеются отдельные недостатки в оформлении.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57"/>
              <w:numPr>
                <w:ilvl w:val="0"/>
                <w:numId w:val="38"/>
              </w:numPr>
              <w:jc w:val="both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Актуальность обоснована не в полном объеме.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57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Постановка научной или научно-практической проблемы недостаточно  обоснована.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57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Степень изученности проблемы в работах российских и зарубежных авторов освещена не в полом объеме.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57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Количество использованных источников недостаточное.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57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Выводы, предложения, рекомендации 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</w:rPr>
              <w:t xml:space="preserve">требуют уточнений формулировок.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42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  <w:t xml:space="preserve">«2» (неудовлетворительно)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57"/>
              <w:numPr>
                <w:ilvl w:val="0"/>
                <w:numId w:val="37"/>
              </w:numPr>
              <w:jc w:val="both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Требования  к объему (в том числе в части аннотации)  и к оформлению не соблюдены.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57"/>
              <w:numPr>
                <w:ilvl w:val="0"/>
                <w:numId w:val="37"/>
              </w:numPr>
              <w:jc w:val="both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Актуальность обоснована не в полном объеме.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5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Постановка научной или научно-практической проблемы не   обоснована.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5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Степень изученности проблемы в работах российских и зарубежных авторов не освещена.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5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Количество использованных источников недостаточное.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57"/>
              <w:numPr>
                <w:ilvl w:val="0"/>
                <w:numId w:val="37"/>
              </w:numPr>
              <w:jc w:val="both"/>
              <w:tabs>
                <w:tab w:val="left" w:pos="1386" w:leader="none"/>
              </w:tabs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Выводы, предложения, рекомендации отсутствуют или не обоснованы.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spacing w:after="0" w:line="298" w:lineRule="exact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spacing w:after="0" w:line="298" w:lineRule="exact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contextualSpacing/>
        <w:ind w:right="-1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rPr>
          <w:rFonts w:ascii="Times New Roman" w:hAnsi="Times New Roman" w:eastAsia="Times New Roman" w:cs="Times New Roman"/>
          <w:sz w:val="28"/>
          <w:szCs w:val="28"/>
        </w:rPr>
        <w:sectPr>
          <w:footerReference w:type="default" r:id="rId9"/>
          <w:footnotePr/>
          <w:endnotePr/>
          <w:type w:val="nextPage"/>
          <w:pgSz w:w="11910" w:h="16840" w:orient="portrait"/>
          <w:pgMar w:top="851" w:right="851" w:bottom="1134" w:left="851" w:header="0" w:footer="975" w:gutter="0"/>
          <w:pgNumType w:start="1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360"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14:ligatures w14:val="none"/>
        </w:rPr>
        <w:t xml:space="preserve">БИЛЕТЫ ДЛЯ ПИСЬМЕННОГО КАНДИДАТСКОГО ЭКЗАМЕНА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spacing w:after="0" w:line="298" w:lineRule="exact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tbl>
      <w:tblPr>
        <w:tblStyle w:val="807"/>
        <w:tblW w:w="0" w:type="auto"/>
        <w:tblLayout w:type="fixed"/>
        <w:tblLook w:val="04A0" w:firstRow="1" w:lastRow="0" w:firstColumn="1" w:lastColumn="0" w:noHBand="0" w:noVBand="1"/>
      </w:tblPr>
      <w:tblGrid>
        <w:gridCol w:w="1700"/>
        <w:gridCol w:w="4536"/>
        <w:gridCol w:w="4109"/>
      </w:tblGrid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№ билета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Вопрос 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Вопрос 2 </w:t>
            </w:r>
            <w:r/>
          </w:p>
        </w:tc>
      </w:tr>
      <w:tr>
        <w:tblPrEx/>
        <w:trPr>
          <w:trHeight w:val="1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линейных объектов системы газоснабжения и источники правового регулирования строительства и эксплуатации линейных объектов системы газоснабжения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публичного сервитута и источники правового регулирования установления публичного сервитута для строительства и эксплуатации линейных объектов системы газоснабжения</w:t>
            </w:r>
            <w:r/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Основы правового режима земельных участков для размещения объектов энергетики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Введение в гражданский оборот земельных участков для размещения объектов энергетики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климатического проекта и источники правового регулирования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Публично-правовое регулирование реализации климатических проектов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Понятие, виды реабилитационных медицинских центров и источники правового регулирования порядка их создания и деятельности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Правовое положение субъектов права на получение реабилитационной медицинской помощи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Линейные объекты в электроэнергетике как вид объектов топливно-энергетического комплекса</w:t>
            </w:r>
            <w:r/>
            <w:r/>
            <w:r>
              <w:rPr>
                <w:rFonts w:ascii="Times New Roman" w:hAnsi="Times New Roman" w:eastAsia="Times New Roman" w:cs="Times New Roman"/>
                <w:color w:val="000000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Линии электропередачи как недвижимые объекты электросетевого хозяйства</w:t>
            </w:r>
            <w:r/>
            <w:r/>
            <w:r>
              <w:rPr>
                <w:rFonts w:ascii="Times New Roman" w:hAnsi="Times New Roman" w:eastAsia="Times New Roman" w:cs="Times New Roman"/>
                <w:color w:val="000000"/>
              </w:rPr>
            </w:r>
            <w:r/>
            <w:r/>
          </w:p>
        </w:tc>
      </w:tr>
      <w:tr>
        <w:tblPrEx/>
        <w:trPr>
          <w:trHeight w:val="1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особенности атрибутов генерации и сертификатов происхождения электрической энергии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Атрибуты генерации и сертификаты происхождения электрической энергии как объекты гражданских прав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рынка сжиженного природного газа и источники правового регулирования функционирования рынка сжиженного природного газа в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Государственное регулирование рынка сжиженного природного газа</w:t>
            </w:r>
            <w:r/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Теоретико-правовые основы института перестрахования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Гражданско-правовые механизмы регулирования института перестрахования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Билет №9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Понятие компаний топливно-энергетического комплекса с зарубежным участием и источники правового регулирования их деятельности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Особенности и ограничения при осуществлении корпоративного управления в компаниях топливно-энергетического комплекса с зарубежным участием</w:t>
            </w:r>
            <w:r>
              <w:rPr>
                <w:highlight w:val="white"/>
              </w:rPr>
            </w:r>
          </w:p>
        </w:tc>
      </w:tr>
      <w:tr>
        <w:tblPrEx/>
        <w:trPr>
          <w:trHeight w:val="114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№10</w:t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источники правового регулирования деятельности медицинских организаций как участников на рынке добровольного медицинского страхования</w:t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Договорное регулирование отношений с участием медицинских организаций на рынке добровольного медицинского страхования</w:t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</w:p>
        </w:tc>
      </w:tr>
      <w:tr>
        <w:tblPrEx/>
        <w:trPr>
          <w:trHeight w:val="1136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№11</w:t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Система правового регулирования деятельности сетевых организаций</w:t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Правовое положение сетевых организаций как участников публично-правовых отношений</w:t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источники правового регулирования информационной безопасности страховой деятельности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Публично-правовое регулирование и контроль над обеспечением информационной безопасности страховой деятельности</w:t>
            </w:r>
            <w:r/>
          </w:p>
        </w:tc>
      </w:tr>
      <w:tr>
        <w:tblPrEx/>
        <w:trPr>
          <w:trHeight w:val="1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Правовой режим судов и иных плавсредств с ядерными установками и радиационными источниками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Публично-правовое регулирование отношений в связи с выводом из эксплуатации судов и иных плавсредств с ядерными установками и радиационными источниками</w:t>
            </w:r>
            <w:r/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Правовое регулирование зон с особыми условиями использования территорий, возникающих в связи с размещением магистральных нефтепроводов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Правовые гарантии соблюдения режима охранных зон, минимальных расстояний и санитарно-защитных зон магистральных нефтепроводов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Купля-продажа мощности как особо конкурентного отбора мощности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Элементы договора купли-продажи мощности по результатам конкурентного отбора мощности</w:t>
            </w:r>
            <w:r/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История правового регулирования медицинского страхования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Правовое регулирование медицинского страхования в Российской Федерации на современном этапе</w:t>
            </w:r>
            <w:r/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Источники правового регулирования телемедицинских услуг в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Организационно-правовые модели оказания телемедицинских услуг в межгосударственных объединениях и зарубежных странах</w:t>
            </w:r>
            <w:r/>
          </w:p>
        </w:tc>
      </w:tr>
      <w:tr>
        <w:tblPrEx/>
        <w:trPr>
          <w:trHeight w:val="1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ядерно и радиационно опасных объектов и источники правового регулирования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Правовое положения организаций, эксплуатирующих ядерно и радиационно опасных объектов в Российской Федерации</w:t>
            </w:r>
            <w:r/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источники правового регулирования общественных отношений в сфере резервирования электрической мощности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Публично-правовое регулирование отношений по резервированию электрической мощности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виды ответственности за неисполнение обязательств по оплате энергоресурсов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Правовой анализ платежной дисциплины потребителей энергоресурсов в сфере электроснабжения, теплоснабжения и газоснабжения</w:t>
            </w:r>
            <w:r/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обязательного медицинского страхования и источников правового регулирования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Особенности публично-правового регулирования в сфере обязательного медицинского страхования в Российской Федерации</w:t>
            </w:r>
            <w:r/>
          </w:p>
        </w:tc>
      </w:tr>
      <w:tr>
        <w:tblPrEx/>
        <w:trPr>
          <w:trHeight w:val="1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специальных экономических зон и источников правового регулирования порядка их формирования и функционирования в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Порядок формирования и функционирования специальных экономических зон со сферой инвестирования в области энергетики за рубежом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Понятие, виды беспилотных транспортных средств и источники правового регулирования их использования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Государственное регулирование использования беспилотных транспортных средств в Российской Федерации</w:t>
            </w:r>
            <w:r/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Цели, содержание и источники правового регулирования экспорта нефти и нефтепродуктов из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Государственное регулирование экспорта нефти и нефтепродуктов из Российской Федерации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Цели, содержание антимонопольного регулирования и контроля в сфере электроэнергетики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Средства антимонопольного регулирования в электроэнергетике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Медиация как альтернативная процедура урегулирования споров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Процедура проведения медиации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Теоретико-правовые подходы к развитию системы обязательного медицинского страхования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Нормативно-правовая база оказания медицинских услуг по программам ОМС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предмет заключения акционерного соглашения с иностранными акционерами в нефтегазовых компаниях в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Правовое регулирования заключения и исполнения акционерного соглашения в нефтегазовых компаниях государств-членов Евразийского экономического союза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№29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источники правового регулирования деятельности страховых организаций как участников рынка добровольного медицинского страхования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Правовое положение страховых организаций как участников частноправовых отношении в сфере добровольного медицинского страхования</w:t>
            </w:r>
            <w:r/>
          </w:p>
        </w:tc>
      </w:tr>
      <w:tr>
        <w:tblPrEx/>
        <w:trPr>
          <w:trHeight w:val="57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переработки природного газа и источники правового регулирования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Договорное регулирование отношений по переработке природного газа</w:t>
            </w:r>
            <w:r/>
          </w:p>
        </w:tc>
      </w:tr>
      <w:tr>
        <w:tblPrEx/>
        <w:trPr>
          <w:trHeight w:val="142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№31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Договор на строительство генерирующих объектов, функционирующих на основе возобновляемых источников энергии как важных инвестиционный инструмент развития ВИЭ генерации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Элементы договора на строительство генерирующих объектов, функционирующих на основе возобновляемых источников энергии</w:t>
            </w:r>
            <w:r/>
          </w:p>
        </w:tc>
      </w:tr>
      <w:tr>
        <w:tblPrEx/>
        <w:trPr>
          <w:trHeight w:val="57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Понятия и виды договоров обязательного медицинского страхования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Нормативные правовые основы ОМС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Общая характеристика программ для электронных вычислительных машин как объектов гражданских прав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Гражданско-правовые способы распоряжения исключительным правом на программу для ЭВМ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IT платформы и источники правового регулирования их использования в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IT платформы и источники правового регулирования их использования за рубежом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Использование информационных технологий в сфере обязательного медицинского страхования как предмет научного правового исследования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Основные аспекты охраны информации в обязательном медицинском страховании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Цели, задачи, источники правового регулирования возмещения вреда окружающей среде от загрязнения нефтью и нефтепродуктами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Порядок возмещения вреда окружающей среде от загрязнения нефти и нефтепродуктами, определение его размера</w:t>
            </w:r>
            <w:r/>
          </w:p>
        </w:tc>
      </w:tr>
      <w:tr>
        <w:tblPrEx/>
        <w:trPr>
          <w:trHeight w:val="1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договора добровольного медицинского страхования и источники правового регулирования отношений, возникающих при осуществлении добровольного медицинского страхования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Порядок заключения договора добровольного медицинского страхования и виды страховых случаев</w:t>
            </w:r>
            <w:r/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Теоретико-правовые подходы к защите морской среды от загрязнения при судоходстве по Северному морскому пути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Международно-правовые инструменты защиты морской среды от загрязнения при судоходстве по Северному морскому пути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дополнительного инвестиционного дохода в договорах страхования жизни и источники правового регулирования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Становление правового регулирования инвестиционного дохода в страховании жизни</w:t>
            </w:r>
            <w:r/>
          </w:p>
        </w:tc>
      </w:tr>
      <w:tr>
        <w:tblPrEx/>
        <w:trPr>
          <w:trHeight w:val="171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источники международно-правового регулирования строительства атомных электростанций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Особенности возникновения договорных отношений, обеспечения исполнения обязательств и обеспечение защиты инвестиций при реализации трансграничных проектов по строительству атомных электростанций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Особенности расчетов за тепловую энергию (мощность), теплоноситель и за услуги по передаче тепловой энергии, теплоносителя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Государственное регулирование цен (тарифов) в сфере теплоснабжения</w:t>
            </w:r>
            <w:r/>
          </w:p>
        </w:tc>
      </w:tr>
      <w:tr>
        <w:tblPrEx/>
        <w:trPr>
          <w:trHeight w:val="1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Цели, содержание, виды медицинского страхования и источники правового регулирования института медицинского страхования в системе здравоохранения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Государственное регулирование медицинского страхования в системе здравоохранения Российской Федерации</w:t>
            </w:r>
            <w:r/>
          </w:p>
        </w:tc>
      </w:tr>
      <w:tr>
        <w:tblPrEx/>
        <w:trPr>
          <w:trHeight w:val="19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источники правового регулирования биржевых торгов энергетическими ресурсами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Правовое положение биржи как порядок взаимодействия с участниками торгов, инфраструктурными организациями, а также уполномоченными органами, осуществляющими регулирование и контроль за организацией биржевых торгов энергетическими ресурсами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Сетевая организация как коммерческая организация, оказывающая услуги в сфере энергоснабжения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Особенности правового положения Федеральной сетевой компании - Россети и территориальных сетевых организаций</w:t>
            </w:r>
            <w:r/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Правовые аспекты киберстрахования в сфере энергетики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Обеспечение правовой защиты информационных активов в сфере энергетики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Особенности регулирования договорных отношений на розничных рынках электрической энергии (мощности) в России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элементы договора энергоснабжения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Теоретико-правовые основы обеспечения информационной безопасности личности в сети "Интернет"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Публично-правовое регулирование в сфере обеспечения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информационной безопасности личности в сети «Интернет».</w:t>
            </w:r>
            <w:r/>
          </w:p>
        </w:tc>
      </w:tr>
      <w:tr>
        <w:tblPrEx/>
        <w:trPr>
          <w:trHeight w:val="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Правовые основы регулирования отношений с участием независимых производителей газа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Оценка содержания норм российского законодательства, ограничивающих возможность справедливой конкуренции для независимых производителей газа</w:t>
            </w:r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переработки попутного нефтяного газа и источники правового регулирования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Договорное регулирование отношений по переработке попутного нефтяного газа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страхования профессиональной ответственности медицинских работников и источники правового регулирования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Государственное регулирование предоставления медицинской помощи надлежащего качества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участников торгов на биржевом товарном рывке и источники правового регулирования из деятельности на биржевом товарном рынке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Правовое обеспечение соблюдения участниками торгов требований на биржевом товарном рынке</w:t>
            </w:r>
            <w:r/>
          </w:p>
        </w:tc>
      </w:tr>
      <w:tr>
        <w:tblPrEx/>
        <w:trPr>
          <w:trHeight w:val="1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№52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виды международных газовых проектов. Источники правового регулирования трудовых отношений при осуществлении международных газовых проектов в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Правовое регулирование трудовых отношений в рамках международных газовых проектов за рубежом</w:t>
            </w:r>
            <w:r/>
          </w:p>
        </w:tc>
      </w:tr>
      <w:tr>
        <w:tblPrEx/>
        <w:trPr>
          <w:trHeight w:val="1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№53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Виды цифровых технологий для корпоративного управления и источников их правового регулирования в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Виды цифровых технологий для корпоративного управления и источники их правового регулирования в государствах-членах Евразийского экономического союза и источники их правового регулирования</w:t>
            </w:r>
            <w:r/>
          </w:p>
        </w:tc>
      </w:tr>
    </w:tbl>
    <w:p>
      <w:pPr>
        <w:jc w:val="both"/>
        <w:spacing w:after="0" w:line="298" w:lineRule="exact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sectPr>
      <w:footnotePr/>
      <w:endnotePr/>
      <w:type w:val="nextPage"/>
      <w:pgSz w:w="11906" w:h="16838" w:orient="portrait"/>
      <w:pgMar w:top="1134" w:right="851" w:bottom="1134" w:left="851" w:header="709" w:footer="709" w:gutter="0"/>
      <w:pgNumType w:start="5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050060065"/>
      <w:docPartObj>
        <w:docPartGallery w:val="Page Numbers (Bottom of Page)"/>
        <w:docPartUnique w:val="true"/>
      </w:docPartObj>
      <w:rPr/>
    </w:sdtPr>
    <w:sdtContent>
      <w:p>
        <w:pPr>
          <w:pStyle w:val="95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53"/>
      <w:spacing w:line="14" w:lineRule="auto"/>
      <w:rPr>
        <w:sz w:val="19"/>
      </w:rPr>
    </w:pPr>
    <w:r>
      <w:rPr>
        <w:sz w:val="19"/>
      </w:rPr>
    </w:r>
    <w:r>
      <w:rPr>
        <w:sz w:val="19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2" w:hanging="497"/>
        <w:jc w:val="right"/>
      </w:pPr>
      <w:rPr>
        <w:rFonts w:hint="default" w:ascii="Times New Roman" w:hAnsi="Times New Roman" w:eastAsia="Times New Roman" w:cs="Times New Roman"/>
        <w:b/>
        <w:bCs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"/>
      <w:lvlJc w:val="left"/>
      <w:pPr>
        <w:ind w:left="122" w:hanging="286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91" w:hanging="28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8" w:hanging="28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05" w:hanging="28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62" w:hanging="28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19" w:hanging="28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76" w:hanging="28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552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27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99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71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43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15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87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59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312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5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2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9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6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3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1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8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5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27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106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28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8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8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8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55" w:hanging="245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99" w:hanging="42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2516" w:hanging="423"/>
        <w:jc w:val="right"/>
      </w:pPr>
      <w:rPr>
        <w:rFonts w:hint="default" w:ascii="Times New Roman" w:hAnsi="Times New Roman" w:eastAsia="Times New Roman" w:cs="Times New Roman"/>
        <w:spacing w:val="-10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20" w:hanging="4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49" w:hanging="4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78" w:hanging="4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07" w:hanging="4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36" w:hanging="4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65" w:hanging="423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5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2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9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6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3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1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8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5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2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5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2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9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6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3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1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8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5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278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55" w:hanging="245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99" w:hanging="42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2516" w:hanging="423"/>
        <w:jc w:val="right"/>
      </w:pPr>
      <w:rPr>
        <w:rFonts w:hint="default" w:ascii="Times New Roman" w:hAnsi="Times New Roman" w:eastAsia="Times New Roman" w:cs="Times New Roman"/>
        <w:spacing w:val="-10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20" w:hanging="4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49" w:hanging="4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78" w:hanging="4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07" w:hanging="4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36" w:hanging="4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65" w:hanging="423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55" w:hanging="245"/>
      </w:pPr>
      <w:rPr>
        <w:rFonts w:ascii="Times New Roman" w:hAnsi="Times New Roman" w:eastAsia="Arial Unicode MS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99" w:hanging="42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2516" w:hanging="423"/>
        <w:jc w:val="right"/>
      </w:pPr>
      <w:rPr>
        <w:rFonts w:hint="default" w:ascii="Times New Roman" w:hAnsi="Times New Roman" w:eastAsia="Times New Roman" w:cs="Times New Roman"/>
        <w:spacing w:val="-10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20" w:hanging="4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49" w:hanging="4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78" w:hanging="4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07" w:hanging="4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36" w:hanging="4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65" w:hanging="423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left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  <w:tabs>
          <w:tab w:val="left" w:pos="7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  <w:tabs>
          <w:tab w:val="left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  <w:tabs>
          <w:tab w:val="left" w:pos="21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  <w:tabs>
          <w:tab w:val="left" w:pos="28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  <w:tabs>
          <w:tab w:val="left" w:pos="36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  <w:tabs>
          <w:tab w:val="left" w:pos="43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  <w:tabs>
          <w:tab w:val="left" w:pos="50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  <w:tabs>
          <w:tab w:val="left" w:pos="576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83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55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427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99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71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43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715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87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595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2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2" w:hanging="497"/>
        <w:jc w:val="right"/>
      </w:pPr>
      <w:rPr>
        <w:rFonts w:hint="default" w:ascii="Times New Roman" w:hAnsi="Times New Roman" w:eastAsia="Times New Roman" w:cs="Times New Roman"/>
        <w:b/>
        <w:bCs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"/>
      <w:lvlJc w:val="left"/>
      <w:pPr>
        <w:ind w:left="122" w:hanging="286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91" w:hanging="28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8" w:hanging="28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05" w:hanging="28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62" w:hanging="28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19" w:hanging="28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76" w:hanging="286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8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5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2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9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4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1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569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suff w:val="tab"/>
      <w:lvlText w:val="%1.%2."/>
      <w:lvlJc w:val="left"/>
      <w:pPr>
        <w:ind w:left="1289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787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521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783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8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44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8" w:hanging="216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552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27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99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71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43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15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87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59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312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34"/>
  </w:num>
  <w:num w:numId="3">
    <w:abstractNumId w:val="31"/>
  </w:num>
  <w:num w:numId="4">
    <w:abstractNumId w:val="20"/>
  </w:num>
  <w:num w:numId="5">
    <w:abstractNumId w:val="29"/>
  </w:num>
  <w:num w:numId="6">
    <w:abstractNumId w:val="17"/>
  </w:num>
  <w:num w:numId="7">
    <w:abstractNumId w:val="1"/>
  </w:num>
  <w:num w:numId="8">
    <w:abstractNumId w:val="39"/>
  </w:num>
  <w:num w:numId="9">
    <w:abstractNumId w:val="19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3"/>
  </w:num>
  <w:num w:numId="23">
    <w:abstractNumId w:val="4"/>
  </w:num>
  <w:num w:numId="24">
    <w:abstractNumId w:val="11"/>
  </w:num>
  <w:num w:numId="25">
    <w:abstractNumId w:val="32"/>
  </w:num>
  <w:num w:numId="26">
    <w:abstractNumId w:val="3"/>
  </w:num>
  <w:num w:numId="27">
    <w:abstractNumId w:val="23"/>
  </w:num>
  <w:num w:numId="28">
    <w:abstractNumId w:val="37"/>
  </w:num>
  <w:num w:numId="29">
    <w:abstractNumId w:val="5"/>
  </w:num>
  <w:num w:numId="30">
    <w:abstractNumId w:val="7"/>
  </w:num>
  <w:num w:numId="31">
    <w:abstractNumId w:val="8"/>
  </w:num>
  <w:num w:numId="32">
    <w:abstractNumId w:val="12"/>
  </w:num>
  <w:num w:numId="33">
    <w:abstractNumId w:val="0"/>
  </w:num>
  <w:num w:numId="34">
    <w:abstractNumId w:val="30"/>
  </w:num>
  <w:num w:numId="35">
    <w:abstractNumId w:val="16"/>
  </w:num>
  <w:num w:numId="36">
    <w:abstractNumId w:val="18"/>
  </w:num>
  <w:num w:numId="37">
    <w:abstractNumId w:val="15"/>
  </w:num>
  <w:num w:numId="38">
    <w:abstractNumId w:val="38"/>
  </w:num>
  <w:num w:numId="39">
    <w:abstractNumId w:val="27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7" w:default="1">
    <w:name w:val="Normal"/>
    <w:qFormat/>
  </w:style>
  <w:style w:type="paragraph" w:styleId="758">
    <w:name w:val="Heading 1"/>
    <w:basedOn w:val="757"/>
    <w:next w:val="757"/>
    <w:link w:val="7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9">
    <w:name w:val="Heading 2"/>
    <w:basedOn w:val="757"/>
    <w:next w:val="757"/>
    <w:link w:val="7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60">
    <w:name w:val="Heading 3"/>
    <w:basedOn w:val="757"/>
    <w:next w:val="757"/>
    <w:link w:val="7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1">
    <w:name w:val="Heading 4"/>
    <w:basedOn w:val="757"/>
    <w:next w:val="757"/>
    <w:link w:val="7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757"/>
    <w:next w:val="757"/>
    <w:link w:val="7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3">
    <w:name w:val="Heading 6"/>
    <w:basedOn w:val="757"/>
    <w:next w:val="757"/>
    <w:link w:val="7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64">
    <w:name w:val="Heading 7"/>
    <w:basedOn w:val="757"/>
    <w:next w:val="757"/>
    <w:link w:val="7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65">
    <w:name w:val="Heading 8"/>
    <w:basedOn w:val="757"/>
    <w:next w:val="757"/>
    <w:link w:val="7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66">
    <w:name w:val="Heading 9"/>
    <w:basedOn w:val="757"/>
    <w:next w:val="757"/>
    <w:link w:val="7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7" w:default="1">
    <w:name w:val="Default Paragraph Font"/>
    <w:uiPriority w:val="1"/>
    <w:semiHidden/>
    <w:unhideWhenUsed/>
  </w:style>
  <w:style w:type="table" w:styleId="7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9" w:default="1">
    <w:name w:val="No List"/>
    <w:uiPriority w:val="99"/>
    <w:semiHidden/>
    <w:unhideWhenUsed/>
  </w:style>
  <w:style w:type="character" w:styleId="770" w:customStyle="1">
    <w:name w:val="Heading 1 Char"/>
    <w:basedOn w:val="767"/>
    <w:uiPriority w:val="9"/>
    <w:rPr>
      <w:rFonts w:ascii="Arial" w:hAnsi="Arial" w:eastAsia="Arial" w:cs="Arial"/>
      <w:sz w:val="40"/>
      <w:szCs w:val="40"/>
    </w:rPr>
  </w:style>
  <w:style w:type="character" w:styleId="771" w:customStyle="1">
    <w:name w:val="Heading 2 Char"/>
    <w:basedOn w:val="767"/>
    <w:uiPriority w:val="9"/>
    <w:rPr>
      <w:rFonts w:ascii="Arial" w:hAnsi="Arial" w:eastAsia="Arial" w:cs="Arial"/>
      <w:sz w:val="34"/>
    </w:rPr>
  </w:style>
  <w:style w:type="character" w:styleId="772" w:customStyle="1">
    <w:name w:val="Heading 3 Char"/>
    <w:basedOn w:val="767"/>
    <w:uiPriority w:val="9"/>
    <w:rPr>
      <w:rFonts w:ascii="Arial" w:hAnsi="Arial" w:eastAsia="Arial" w:cs="Arial"/>
      <w:sz w:val="30"/>
      <w:szCs w:val="30"/>
    </w:rPr>
  </w:style>
  <w:style w:type="character" w:styleId="773" w:customStyle="1">
    <w:name w:val="Heading 4 Char"/>
    <w:basedOn w:val="767"/>
    <w:uiPriority w:val="9"/>
    <w:rPr>
      <w:rFonts w:ascii="Arial" w:hAnsi="Arial" w:eastAsia="Arial" w:cs="Arial"/>
      <w:b/>
      <w:bCs/>
      <w:sz w:val="26"/>
      <w:szCs w:val="26"/>
    </w:rPr>
  </w:style>
  <w:style w:type="character" w:styleId="774" w:customStyle="1">
    <w:name w:val="Heading 5 Char"/>
    <w:basedOn w:val="767"/>
    <w:uiPriority w:val="9"/>
    <w:rPr>
      <w:rFonts w:ascii="Arial" w:hAnsi="Arial" w:eastAsia="Arial" w:cs="Arial"/>
      <w:b/>
      <w:bCs/>
      <w:sz w:val="24"/>
      <w:szCs w:val="24"/>
    </w:rPr>
  </w:style>
  <w:style w:type="character" w:styleId="775" w:customStyle="1">
    <w:name w:val="Heading 6 Char"/>
    <w:basedOn w:val="767"/>
    <w:uiPriority w:val="9"/>
    <w:rPr>
      <w:rFonts w:ascii="Arial" w:hAnsi="Arial" w:eastAsia="Arial" w:cs="Arial"/>
      <w:b/>
      <w:bCs/>
      <w:sz w:val="22"/>
      <w:szCs w:val="22"/>
    </w:rPr>
  </w:style>
  <w:style w:type="character" w:styleId="776" w:customStyle="1">
    <w:name w:val="Heading 7 Char"/>
    <w:basedOn w:val="7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7" w:customStyle="1">
    <w:name w:val="Heading 8 Char"/>
    <w:basedOn w:val="767"/>
    <w:uiPriority w:val="9"/>
    <w:rPr>
      <w:rFonts w:ascii="Arial" w:hAnsi="Arial" w:eastAsia="Arial" w:cs="Arial"/>
      <w:i/>
      <w:iCs/>
      <w:sz w:val="22"/>
      <w:szCs w:val="22"/>
    </w:rPr>
  </w:style>
  <w:style w:type="character" w:styleId="778" w:customStyle="1">
    <w:name w:val="Heading 9 Char"/>
    <w:basedOn w:val="767"/>
    <w:uiPriority w:val="9"/>
    <w:rPr>
      <w:rFonts w:ascii="Arial" w:hAnsi="Arial" w:eastAsia="Arial" w:cs="Arial"/>
      <w:i/>
      <w:iCs/>
      <w:sz w:val="21"/>
      <w:szCs w:val="21"/>
    </w:rPr>
  </w:style>
  <w:style w:type="character" w:styleId="779" w:customStyle="1">
    <w:name w:val="Title Char"/>
    <w:basedOn w:val="767"/>
    <w:uiPriority w:val="10"/>
    <w:rPr>
      <w:sz w:val="48"/>
      <w:szCs w:val="48"/>
    </w:rPr>
  </w:style>
  <w:style w:type="character" w:styleId="780" w:customStyle="1">
    <w:name w:val="Subtitle Char"/>
    <w:basedOn w:val="767"/>
    <w:uiPriority w:val="11"/>
    <w:rPr>
      <w:sz w:val="24"/>
      <w:szCs w:val="24"/>
    </w:rPr>
  </w:style>
  <w:style w:type="character" w:styleId="781" w:customStyle="1">
    <w:name w:val="Quote Char"/>
    <w:uiPriority w:val="29"/>
    <w:rPr>
      <w:i/>
    </w:rPr>
  </w:style>
  <w:style w:type="character" w:styleId="782" w:customStyle="1">
    <w:name w:val="Intense Quote Char"/>
    <w:uiPriority w:val="30"/>
    <w:rPr>
      <w:i/>
    </w:rPr>
  </w:style>
  <w:style w:type="character" w:styleId="783" w:customStyle="1">
    <w:name w:val="Footnote Text Char"/>
    <w:uiPriority w:val="99"/>
    <w:rPr>
      <w:sz w:val="18"/>
    </w:rPr>
  </w:style>
  <w:style w:type="character" w:styleId="784" w:customStyle="1">
    <w:name w:val="Endnote Text Char"/>
    <w:uiPriority w:val="99"/>
    <w:rPr>
      <w:sz w:val="20"/>
    </w:rPr>
  </w:style>
  <w:style w:type="character" w:styleId="785" w:customStyle="1">
    <w:name w:val="Заголовок 1 Знак"/>
    <w:basedOn w:val="767"/>
    <w:link w:val="758"/>
    <w:uiPriority w:val="9"/>
    <w:rPr>
      <w:rFonts w:ascii="Arial" w:hAnsi="Arial" w:eastAsia="Arial" w:cs="Arial"/>
      <w:sz w:val="40"/>
      <w:szCs w:val="40"/>
    </w:rPr>
  </w:style>
  <w:style w:type="character" w:styleId="786" w:customStyle="1">
    <w:name w:val="Заголовок 2 Знак"/>
    <w:basedOn w:val="767"/>
    <w:link w:val="759"/>
    <w:uiPriority w:val="9"/>
    <w:rPr>
      <w:rFonts w:ascii="Arial" w:hAnsi="Arial" w:eastAsia="Arial" w:cs="Arial"/>
      <w:sz w:val="34"/>
    </w:rPr>
  </w:style>
  <w:style w:type="character" w:styleId="787" w:customStyle="1">
    <w:name w:val="Заголовок 3 Знак"/>
    <w:basedOn w:val="767"/>
    <w:link w:val="760"/>
    <w:uiPriority w:val="9"/>
    <w:rPr>
      <w:rFonts w:ascii="Arial" w:hAnsi="Arial" w:eastAsia="Arial" w:cs="Arial"/>
      <w:sz w:val="30"/>
      <w:szCs w:val="30"/>
    </w:rPr>
  </w:style>
  <w:style w:type="character" w:styleId="788" w:customStyle="1">
    <w:name w:val="Заголовок 4 Знак"/>
    <w:basedOn w:val="767"/>
    <w:link w:val="761"/>
    <w:uiPriority w:val="9"/>
    <w:rPr>
      <w:rFonts w:ascii="Arial" w:hAnsi="Arial" w:eastAsia="Arial" w:cs="Arial"/>
      <w:b/>
      <w:bCs/>
      <w:sz w:val="26"/>
      <w:szCs w:val="26"/>
    </w:rPr>
  </w:style>
  <w:style w:type="character" w:styleId="789" w:customStyle="1">
    <w:name w:val="Заголовок 5 Знак"/>
    <w:basedOn w:val="767"/>
    <w:link w:val="762"/>
    <w:uiPriority w:val="9"/>
    <w:rPr>
      <w:rFonts w:ascii="Arial" w:hAnsi="Arial" w:eastAsia="Arial" w:cs="Arial"/>
      <w:b/>
      <w:bCs/>
      <w:sz w:val="24"/>
      <w:szCs w:val="24"/>
    </w:rPr>
  </w:style>
  <w:style w:type="character" w:styleId="790" w:customStyle="1">
    <w:name w:val="Заголовок 6 Знак"/>
    <w:basedOn w:val="767"/>
    <w:link w:val="763"/>
    <w:uiPriority w:val="9"/>
    <w:rPr>
      <w:rFonts w:ascii="Arial" w:hAnsi="Arial" w:eastAsia="Arial" w:cs="Arial"/>
      <w:b/>
      <w:bCs/>
      <w:sz w:val="22"/>
      <w:szCs w:val="22"/>
    </w:rPr>
  </w:style>
  <w:style w:type="character" w:styleId="791" w:customStyle="1">
    <w:name w:val="Заголовок 7 Знак"/>
    <w:basedOn w:val="767"/>
    <w:link w:val="7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2" w:customStyle="1">
    <w:name w:val="Заголовок 8 Знак"/>
    <w:basedOn w:val="767"/>
    <w:link w:val="765"/>
    <w:uiPriority w:val="9"/>
    <w:rPr>
      <w:rFonts w:ascii="Arial" w:hAnsi="Arial" w:eastAsia="Arial" w:cs="Arial"/>
      <w:i/>
      <w:iCs/>
      <w:sz w:val="22"/>
      <w:szCs w:val="22"/>
    </w:rPr>
  </w:style>
  <w:style w:type="character" w:styleId="793" w:customStyle="1">
    <w:name w:val="Заголовок 9 Знак"/>
    <w:basedOn w:val="767"/>
    <w:link w:val="766"/>
    <w:uiPriority w:val="9"/>
    <w:rPr>
      <w:rFonts w:ascii="Arial" w:hAnsi="Arial" w:eastAsia="Arial" w:cs="Arial"/>
      <w:i/>
      <w:iCs/>
      <w:sz w:val="21"/>
      <w:szCs w:val="21"/>
    </w:rPr>
  </w:style>
  <w:style w:type="paragraph" w:styleId="794">
    <w:name w:val="No Spacing"/>
    <w:uiPriority w:val="1"/>
    <w:qFormat/>
    <w:pPr>
      <w:spacing w:after="0" w:line="240" w:lineRule="auto"/>
    </w:pPr>
  </w:style>
  <w:style w:type="paragraph" w:styleId="795">
    <w:name w:val="Title"/>
    <w:basedOn w:val="757"/>
    <w:next w:val="757"/>
    <w:link w:val="7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6" w:customStyle="1">
    <w:name w:val="Заголовок Знак"/>
    <w:basedOn w:val="767"/>
    <w:link w:val="795"/>
    <w:uiPriority w:val="10"/>
    <w:rPr>
      <w:sz w:val="48"/>
      <w:szCs w:val="48"/>
    </w:rPr>
  </w:style>
  <w:style w:type="paragraph" w:styleId="797">
    <w:name w:val="Subtitle"/>
    <w:basedOn w:val="757"/>
    <w:next w:val="757"/>
    <w:link w:val="798"/>
    <w:uiPriority w:val="11"/>
    <w:qFormat/>
    <w:pPr>
      <w:spacing w:before="200" w:after="200"/>
    </w:pPr>
    <w:rPr>
      <w:sz w:val="24"/>
      <w:szCs w:val="24"/>
    </w:rPr>
  </w:style>
  <w:style w:type="character" w:styleId="798" w:customStyle="1">
    <w:name w:val="Подзаголовок Знак"/>
    <w:basedOn w:val="767"/>
    <w:link w:val="797"/>
    <w:uiPriority w:val="11"/>
    <w:rPr>
      <w:sz w:val="24"/>
      <w:szCs w:val="24"/>
    </w:rPr>
  </w:style>
  <w:style w:type="paragraph" w:styleId="799">
    <w:name w:val="Quote"/>
    <w:basedOn w:val="757"/>
    <w:next w:val="757"/>
    <w:link w:val="800"/>
    <w:uiPriority w:val="29"/>
    <w:qFormat/>
    <w:pPr>
      <w:ind w:left="720" w:right="720"/>
    </w:pPr>
    <w:rPr>
      <w:i/>
    </w:rPr>
  </w:style>
  <w:style w:type="character" w:styleId="800" w:customStyle="1">
    <w:name w:val="Цитата 2 Знак"/>
    <w:link w:val="799"/>
    <w:uiPriority w:val="29"/>
    <w:rPr>
      <w:i/>
    </w:rPr>
  </w:style>
  <w:style w:type="paragraph" w:styleId="801">
    <w:name w:val="Intense Quote"/>
    <w:basedOn w:val="757"/>
    <w:next w:val="757"/>
    <w:link w:val="8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2" w:customStyle="1">
    <w:name w:val="Выделенная цитата Знак"/>
    <w:link w:val="801"/>
    <w:uiPriority w:val="30"/>
    <w:rPr>
      <w:i/>
    </w:rPr>
  </w:style>
  <w:style w:type="character" w:styleId="803" w:customStyle="1">
    <w:name w:val="Header Char"/>
    <w:basedOn w:val="767"/>
    <w:uiPriority w:val="99"/>
  </w:style>
  <w:style w:type="character" w:styleId="804" w:customStyle="1">
    <w:name w:val="Footer Char"/>
    <w:basedOn w:val="767"/>
    <w:uiPriority w:val="99"/>
  </w:style>
  <w:style w:type="paragraph" w:styleId="805">
    <w:name w:val="Caption"/>
    <w:basedOn w:val="757"/>
    <w:next w:val="757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806" w:customStyle="1">
    <w:name w:val="Caption Char"/>
    <w:uiPriority w:val="99"/>
  </w:style>
  <w:style w:type="table" w:styleId="807">
    <w:name w:val="Table Grid"/>
    <w:basedOn w:val="76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08" w:customStyle="1">
    <w:name w:val="Table Grid Light"/>
    <w:basedOn w:val="76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9">
    <w:name w:val="Plain Table 1"/>
    <w:basedOn w:val="76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0">
    <w:name w:val="Plain Table 2"/>
    <w:basedOn w:val="76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>
    <w:name w:val="Plain Table 3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2">
    <w:name w:val="Plain Table 4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Plain Table 5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4">
    <w:name w:val="Grid Table 1 Light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5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6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5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6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5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6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4"/>
    <w:basedOn w:val="7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6" w:customStyle="1">
    <w:name w:val="Grid Table 4 - Accent 1"/>
    <w:basedOn w:val="7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37" w:customStyle="1">
    <w:name w:val="Grid Table 4 - Accent 2"/>
    <w:basedOn w:val="7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38" w:customStyle="1">
    <w:name w:val="Grid Table 4 - Accent 3"/>
    <w:basedOn w:val="7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39" w:customStyle="1">
    <w:name w:val="Grid Table 4 - Accent 4"/>
    <w:basedOn w:val="7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40" w:customStyle="1">
    <w:name w:val="Grid Table 4 - Accent 5"/>
    <w:basedOn w:val="7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41" w:customStyle="1">
    <w:name w:val="Grid Table 4 - Accent 6"/>
    <w:basedOn w:val="7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42">
    <w:name w:val="Grid Table 5 Dark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- Accent 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 - Accent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- Accent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5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6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49">
    <w:name w:val="Grid Table 6 Colorful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0" w:customStyle="1">
    <w:name w:val="Grid Table 6 Colorful - Accent 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51" w:customStyle="1">
    <w:name w:val="Grid Table 6 Colorful - Accent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52" w:customStyle="1">
    <w:name w:val="Grid Table 6 Colorful - Accent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53" w:customStyle="1">
    <w:name w:val="Grid Table 6 Colorful - Accent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54" w:customStyle="1">
    <w:name w:val="Grid Table 6 Colorful - Accent 5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55" w:customStyle="1">
    <w:name w:val="Grid Table 6 Colorful - Accent 6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56">
    <w:name w:val="Grid Table 7 Colorful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7 Colorful - Accent 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5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6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1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2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3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4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5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6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5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6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77">
    <w:name w:val="List Table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5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6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5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6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5 Dark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5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6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>
    <w:name w:val="List Table 6 Colorful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9" w:customStyle="1">
    <w:name w:val="List Table 6 Colorful - Accent 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900" w:customStyle="1">
    <w:name w:val="List Table 6 Colorful - Accent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01" w:customStyle="1">
    <w:name w:val="List Table 6 Colorful - Accent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02" w:customStyle="1">
    <w:name w:val="List Table 6 Colorful - Accent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03" w:customStyle="1">
    <w:name w:val="List Table 6 Colorful - Accent 5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904" w:customStyle="1">
    <w:name w:val="List Table 6 Colorful - Accent 6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05">
    <w:name w:val="List Table 7 Colorful"/>
    <w:basedOn w:val="7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7 Colorful - Accent 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5"/>
    <w:basedOn w:val="7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6"/>
    <w:basedOn w:val="7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ned - Accent"/>
    <w:basedOn w:val="768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3" w:customStyle="1">
    <w:name w:val="Lined - Accent 1"/>
    <w:basedOn w:val="768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14" w:customStyle="1">
    <w:name w:val="Lined - Accent 2"/>
    <w:basedOn w:val="768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15" w:customStyle="1">
    <w:name w:val="Lined - Accent 3"/>
    <w:basedOn w:val="768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16" w:customStyle="1">
    <w:name w:val="Lined - Accent 4"/>
    <w:basedOn w:val="768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17" w:customStyle="1">
    <w:name w:val="Lined - Accent 5"/>
    <w:basedOn w:val="768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18" w:customStyle="1">
    <w:name w:val="Lined - Accent 6"/>
    <w:basedOn w:val="768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19" w:customStyle="1">
    <w:name w:val="Bordered &amp; Lined - Accent"/>
    <w:basedOn w:val="768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0" w:customStyle="1">
    <w:name w:val="Bordered &amp; Lined - Accent 1"/>
    <w:basedOn w:val="768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21" w:customStyle="1">
    <w:name w:val="Bordered &amp; Lined - Accent 2"/>
    <w:basedOn w:val="768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22" w:customStyle="1">
    <w:name w:val="Bordered &amp; Lined - Accent 3"/>
    <w:basedOn w:val="768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23" w:customStyle="1">
    <w:name w:val="Bordered &amp; Lined - Accent 4"/>
    <w:basedOn w:val="768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24" w:customStyle="1">
    <w:name w:val="Bordered &amp; Lined - Accent 5"/>
    <w:basedOn w:val="768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25" w:customStyle="1">
    <w:name w:val="Bordered &amp; Lined - Accent 6"/>
    <w:basedOn w:val="768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26" w:customStyle="1">
    <w:name w:val="Bordered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7" w:customStyle="1">
    <w:name w:val="Bordered - Accent 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928" w:customStyle="1">
    <w:name w:val="Bordered - Accent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29" w:customStyle="1">
    <w:name w:val="Bordered - Accent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30" w:customStyle="1">
    <w:name w:val="Bordered - Accent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31" w:customStyle="1">
    <w:name w:val="Bordered - Accent 5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932" w:customStyle="1">
    <w:name w:val="Bordered - Accent 6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33">
    <w:name w:val="Hyperlink"/>
    <w:uiPriority w:val="99"/>
    <w:unhideWhenUsed/>
    <w:rPr>
      <w:color w:val="0563c1" w:themeColor="hyperlink"/>
      <w:u w:val="single"/>
    </w:rPr>
  </w:style>
  <w:style w:type="paragraph" w:styleId="934">
    <w:name w:val="footnote text"/>
    <w:basedOn w:val="757"/>
    <w:link w:val="935"/>
    <w:uiPriority w:val="99"/>
    <w:semiHidden/>
    <w:unhideWhenUsed/>
    <w:pPr>
      <w:spacing w:after="40" w:line="240" w:lineRule="auto"/>
    </w:pPr>
    <w:rPr>
      <w:sz w:val="18"/>
    </w:rPr>
  </w:style>
  <w:style w:type="character" w:styleId="935" w:customStyle="1">
    <w:name w:val="Текст сноски Знак"/>
    <w:link w:val="934"/>
    <w:uiPriority w:val="99"/>
    <w:rPr>
      <w:sz w:val="18"/>
    </w:rPr>
  </w:style>
  <w:style w:type="character" w:styleId="936">
    <w:name w:val="footnote reference"/>
    <w:basedOn w:val="767"/>
    <w:uiPriority w:val="99"/>
    <w:unhideWhenUsed/>
    <w:rPr>
      <w:vertAlign w:val="superscript"/>
    </w:rPr>
  </w:style>
  <w:style w:type="paragraph" w:styleId="937">
    <w:name w:val="endnote text"/>
    <w:basedOn w:val="757"/>
    <w:link w:val="938"/>
    <w:uiPriority w:val="99"/>
    <w:semiHidden/>
    <w:unhideWhenUsed/>
    <w:pPr>
      <w:spacing w:after="0" w:line="240" w:lineRule="auto"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rPr>
      <w:sz w:val="20"/>
    </w:rPr>
  </w:style>
  <w:style w:type="character" w:styleId="939">
    <w:name w:val="endnote reference"/>
    <w:basedOn w:val="767"/>
    <w:uiPriority w:val="99"/>
    <w:semiHidden/>
    <w:unhideWhenUsed/>
    <w:rPr>
      <w:vertAlign w:val="superscript"/>
    </w:rPr>
  </w:style>
  <w:style w:type="paragraph" w:styleId="940">
    <w:name w:val="toc 1"/>
    <w:basedOn w:val="757"/>
    <w:next w:val="757"/>
    <w:uiPriority w:val="39"/>
    <w:unhideWhenUsed/>
    <w:pPr>
      <w:spacing w:after="57"/>
    </w:pPr>
  </w:style>
  <w:style w:type="paragraph" w:styleId="941">
    <w:name w:val="toc 2"/>
    <w:basedOn w:val="757"/>
    <w:next w:val="757"/>
    <w:uiPriority w:val="39"/>
    <w:unhideWhenUsed/>
    <w:pPr>
      <w:ind w:left="283"/>
      <w:spacing w:after="57"/>
    </w:pPr>
  </w:style>
  <w:style w:type="paragraph" w:styleId="942">
    <w:name w:val="toc 3"/>
    <w:basedOn w:val="757"/>
    <w:next w:val="757"/>
    <w:uiPriority w:val="39"/>
    <w:unhideWhenUsed/>
    <w:pPr>
      <w:ind w:left="567"/>
      <w:spacing w:after="57"/>
    </w:pPr>
  </w:style>
  <w:style w:type="paragraph" w:styleId="943">
    <w:name w:val="toc 4"/>
    <w:basedOn w:val="757"/>
    <w:next w:val="757"/>
    <w:uiPriority w:val="39"/>
    <w:unhideWhenUsed/>
    <w:pPr>
      <w:ind w:left="850"/>
      <w:spacing w:after="57"/>
    </w:pPr>
  </w:style>
  <w:style w:type="paragraph" w:styleId="944">
    <w:name w:val="toc 5"/>
    <w:basedOn w:val="757"/>
    <w:next w:val="757"/>
    <w:uiPriority w:val="39"/>
    <w:unhideWhenUsed/>
    <w:pPr>
      <w:ind w:left="1134"/>
      <w:spacing w:after="57"/>
    </w:pPr>
  </w:style>
  <w:style w:type="paragraph" w:styleId="945">
    <w:name w:val="toc 6"/>
    <w:basedOn w:val="757"/>
    <w:next w:val="757"/>
    <w:uiPriority w:val="39"/>
    <w:unhideWhenUsed/>
    <w:pPr>
      <w:ind w:left="1417"/>
      <w:spacing w:after="57"/>
    </w:pPr>
  </w:style>
  <w:style w:type="paragraph" w:styleId="946">
    <w:name w:val="toc 7"/>
    <w:basedOn w:val="757"/>
    <w:next w:val="757"/>
    <w:uiPriority w:val="39"/>
    <w:unhideWhenUsed/>
    <w:pPr>
      <w:ind w:left="1701"/>
      <w:spacing w:after="57"/>
    </w:pPr>
  </w:style>
  <w:style w:type="paragraph" w:styleId="947">
    <w:name w:val="toc 8"/>
    <w:basedOn w:val="757"/>
    <w:next w:val="757"/>
    <w:uiPriority w:val="39"/>
    <w:unhideWhenUsed/>
    <w:pPr>
      <w:ind w:left="1984"/>
      <w:spacing w:after="57"/>
    </w:pPr>
  </w:style>
  <w:style w:type="paragraph" w:styleId="948">
    <w:name w:val="toc 9"/>
    <w:basedOn w:val="757"/>
    <w:next w:val="757"/>
    <w:uiPriority w:val="39"/>
    <w:unhideWhenUsed/>
    <w:pPr>
      <w:ind w:left="2268"/>
      <w:spacing w:after="57"/>
    </w:pPr>
  </w:style>
  <w:style w:type="paragraph" w:styleId="949">
    <w:name w:val="TOC Heading"/>
    <w:uiPriority w:val="39"/>
    <w:unhideWhenUsed/>
  </w:style>
  <w:style w:type="paragraph" w:styleId="950">
    <w:name w:val="table of figures"/>
    <w:basedOn w:val="757"/>
    <w:next w:val="757"/>
    <w:uiPriority w:val="99"/>
    <w:unhideWhenUsed/>
    <w:pPr>
      <w:spacing w:after="0"/>
    </w:pPr>
  </w:style>
  <w:style w:type="paragraph" w:styleId="951">
    <w:name w:val="Footer"/>
    <w:basedOn w:val="757"/>
    <w:link w:val="95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52" w:customStyle="1">
    <w:name w:val="Нижний колонтитул Знак"/>
    <w:basedOn w:val="767"/>
    <w:link w:val="951"/>
    <w:uiPriority w:val="99"/>
  </w:style>
  <w:style w:type="paragraph" w:styleId="953">
    <w:name w:val="Body Text"/>
    <w:basedOn w:val="757"/>
    <w:link w:val="954"/>
    <w:uiPriority w:val="99"/>
    <w:unhideWhenUsed/>
    <w:pPr>
      <w:spacing w:after="120"/>
    </w:pPr>
  </w:style>
  <w:style w:type="character" w:styleId="954" w:customStyle="1">
    <w:name w:val="Основной текст Знак"/>
    <w:basedOn w:val="767"/>
    <w:link w:val="953"/>
    <w:uiPriority w:val="99"/>
  </w:style>
  <w:style w:type="paragraph" w:styleId="955">
    <w:name w:val="Header"/>
    <w:basedOn w:val="757"/>
    <w:link w:val="95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56" w:customStyle="1">
    <w:name w:val="Верхний колонтитул Знак"/>
    <w:basedOn w:val="767"/>
    <w:link w:val="955"/>
    <w:uiPriority w:val="99"/>
  </w:style>
  <w:style w:type="paragraph" w:styleId="957">
    <w:name w:val="List Paragraph"/>
    <w:basedOn w:val="757"/>
    <w:link w:val="962"/>
    <w:uiPriority w:val="34"/>
    <w:qFormat/>
    <w:pPr>
      <w:contextualSpacing/>
      <w:ind w:left="720"/>
    </w:pPr>
  </w:style>
  <w:style w:type="paragraph" w:styleId="958" w:customStyle="1">
    <w:name w:val="docdata"/>
    <w:basedOn w:val="75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959">
    <w:name w:val="Normal (Web)"/>
    <w:basedOn w:val="75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960">
    <w:name w:val="Body Text 2"/>
    <w:basedOn w:val="757"/>
    <w:link w:val="961"/>
    <w:semiHidden/>
    <w:unhideWhenUsed/>
    <w:pPr>
      <w:spacing w:after="120" w:line="480" w:lineRule="auto"/>
    </w:pPr>
    <w:rPr>
      <w:rFonts w:ascii="Calibri" w:hAnsi="Calibri" w:eastAsia="Times New Roman" w:cs="Times New Roman"/>
      <w:color w:val="000000"/>
      <w:szCs w:val="20"/>
      <w:lang w:eastAsia="ru-RU"/>
      <w14:ligatures w14:val="none"/>
    </w:rPr>
  </w:style>
  <w:style w:type="character" w:styleId="961" w:customStyle="1">
    <w:name w:val="Основной текст 2 Знак"/>
    <w:basedOn w:val="767"/>
    <w:link w:val="960"/>
    <w:semiHidden/>
    <w:rPr>
      <w:rFonts w:ascii="Calibri" w:hAnsi="Calibri" w:eastAsia="Times New Roman" w:cs="Times New Roman"/>
      <w:color w:val="000000"/>
      <w:szCs w:val="20"/>
      <w:lang w:eastAsia="ru-RU"/>
      <w14:ligatures w14:val="none"/>
    </w:rPr>
  </w:style>
  <w:style w:type="character" w:styleId="962" w:customStyle="1">
    <w:name w:val="Абзац списка Знак"/>
    <w:basedOn w:val="767"/>
    <w:link w:val="957"/>
  </w:style>
  <w:style w:type="paragraph" w:styleId="963" w:customStyle="1">
    <w:name w:val="Style5"/>
    <w:basedOn w:val="757"/>
    <w:pPr>
      <w:ind w:firstLine="713"/>
      <w:jc w:val="both"/>
      <w:spacing w:after="0" w:line="328" w:lineRule="exact"/>
      <w:widowControl w:val="off"/>
    </w:pPr>
    <w:rPr>
      <w:rFonts w:ascii="Times New Roman" w:hAnsi="Times New Roman" w:eastAsia="Times New Roman" w:cs="Times New Roman"/>
      <w:color w:val="000000"/>
      <w:sz w:val="24"/>
      <w:szCs w:val="20"/>
      <w:lang w:eastAsia="ru-RU"/>
      <w14:ligatures w14:val="none"/>
    </w:rPr>
  </w:style>
  <w:style w:type="paragraph" w:styleId="964" w:customStyle="1">
    <w:name w:val="Основной текст (5)"/>
    <w:basedOn w:val="757"/>
    <w:pPr>
      <w:spacing w:after="0" w:line="240" w:lineRule="atLeast"/>
    </w:pPr>
    <w:rPr>
      <w:rFonts w:ascii="Times New Roman" w:hAnsi="Times New Roman" w:eastAsia="Times New Roman" w:cs="Times New Roman"/>
      <w:color w:val="000000"/>
      <w:sz w:val="20"/>
      <w:szCs w:val="20"/>
      <w:lang w:eastAsia="ru-RU"/>
      <w14:ligatures w14:val="none"/>
    </w:rPr>
  </w:style>
  <w:style w:type="character" w:styleId="965">
    <w:name w:val="Unresolved Mention"/>
    <w:basedOn w:val="767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mlcjournal.ru/rules-for-authors-mlc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V</dc:creator>
  <cp:keywords/>
  <dc:description/>
  <cp:revision>26</cp:revision>
  <dcterms:created xsi:type="dcterms:W3CDTF">2023-11-16T08:35:00Z</dcterms:created>
  <dcterms:modified xsi:type="dcterms:W3CDTF">2025-01-24T15:34:24Z</dcterms:modified>
</cp:coreProperties>
</file>